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C5170C" w:rsidP="00C5170C">
      <w:pPr>
        <w:ind w:firstLine="0"/>
        <w:rPr>
          <w:rFonts w:eastAsiaTheme="majorEastAsia"/>
          <w:b/>
          <w:bCs/>
          <w:snapToGrid/>
          <w:szCs w:val="28"/>
          <w:lang w:eastAsia="en-US"/>
        </w:rPr>
      </w:pPr>
      <w:r>
        <w:rPr>
          <w:rFonts w:eastAsiaTheme="majorEastAsia"/>
          <w:b/>
          <w:bCs/>
          <w:snapToGrid/>
          <w:szCs w:val="28"/>
          <w:lang w:eastAsia="en-US"/>
        </w:rPr>
        <w:tab/>
      </w:r>
      <w:r>
        <w:rPr>
          <w:rFonts w:eastAsiaTheme="majorEastAsia"/>
          <w:b/>
          <w:bCs/>
          <w:snapToGrid/>
          <w:szCs w:val="28"/>
          <w:lang w:eastAsia="en-US"/>
        </w:rPr>
        <w:tab/>
      </w:r>
      <w:r>
        <w:rPr>
          <w:rFonts w:eastAsiaTheme="majorEastAsia"/>
          <w:b/>
          <w:bCs/>
          <w:snapToGrid/>
          <w:szCs w:val="28"/>
          <w:lang w:eastAsia="en-US"/>
        </w:rPr>
        <w:tab/>
      </w:r>
      <w:r>
        <w:rPr>
          <w:rFonts w:eastAsiaTheme="majorEastAsia"/>
          <w:b/>
          <w:bCs/>
          <w:snapToGrid/>
          <w:szCs w:val="28"/>
          <w:lang w:eastAsia="en-US"/>
        </w:rPr>
        <w:tab/>
      </w:r>
      <w:r>
        <w:rPr>
          <w:rFonts w:eastAsiaTheme="majorEastAsia"/>
          <w:b/>
          <w:bCs/>
          <w:snapToGrid/>
          <w:szCs w:val="28"/>
          <w:lang w:eastAsia="en-US"/>
        </w:rPr>
        <w:tab/>
        <w:t>И</w:t>
      </w:r>
      <w:r w:rsidR="0024584A" w:rsidRPr="0024584A">
        <w:rPr>
          <w:rFonts w:eastAsiaTheme="majorEastAsia"/>
          <w:b/>
          <w:bCs/>
          <w:snapToGrid/>
          <w:szCs w:val="28"/>
          <w:lang w:eastAsia="en-US"/>
        </w:rPr>
        <w:t>ЗВЕЩЕНИЕ</w:t>
      </w:r>
    </w:p>
    <w:p w:rsidR="0024584A" w:rsidRPr="00C5170C"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C5170C">
        <w:rPr>
          <w:rFonts w:eastAsiaTheme="majorEastAsia"/>
          <w:b/>
          <w:bCs/>
          <w:snapToGrid/>
          <w:szCs w:val="28"/>
          <w:lang w:eastAsia="en-US"/>
        </w:rPr>
        <w:t xml:space="preserve">№ </w:t>
      </w:r>
      <w:proofErr w:type="gramStart"/>
      <w:r w:rsidRPr="00C5170C">
        <w:rPr>
          <w:rFonts w:eastAsiaTheme="majorEastAsia"/>
          <w:b/>
          <w:bCs/>
          <w:snapToGrid/>
          <w:szCs w:val="28"/>
          <w:lang w:eastAsia="en-US"/>
        </w:rPr>
        <w:t>ЕП</w:t>
      </w:r>
      <w:proofErr w:type="gramEnd"/>
      <w:r w:rsidR="00C5170C" w:rsidRPr="00C5170C">
        <w:rPr>
          <w:rFonts w:eastAsiaTheme="majorEastAsia"/>
          <w:b/>
          <w:bCs/>
          <w:snapToGrid/>
          <w:szCs w:val="28"/>
          <w:lang w:eastAsia="en-US"/>
        </w:rPr>
        <w:t>/041</w:t>
      </w:r>
      <w:r w:rsidRPr="00C5170C">
        <w:rPr>
          <w:rFonts w:eastAsiaTheme="majorEastAsia"/>
          <w:b/>
          <w:bCs/>
          <w:snapToGrid/>
          <w:szCs w:val="28"/>
          <w:lang w:eastAsia="en-US"/>
        </w:rPr>
        <w:t>/</w:t>
      </w:r>
      <w:r w:rsidR="00C5170C" w:rsidRPr="00C5170C">
        <w:rPr>
          <w:rFonts w:eastAsiaTheme="majorEastAsia"/>
          <w:b/>
          <w:bCs/>
          <w:snapToGrid/>
          <w:szCs w:val="28"/>
          <w:lang w:eastAsia="en-US"/>
        </w:rPr>
        <w:t>ЦКПРИ</w:t>
      </w:r>
      <w:r w:rsidRPr="00C5170C">
        <w:rPr>
          <w:rFonts w:eastAsiaTheme="majorEastAsia"/>
          <w:b/>
          <w:bCs/>
          <w:snapToGrid/>
          <w:szCs w:val="28"/>
          <w:lang w:eastAsia="en-US"/>
        </w:rPr>
        <w:t>/</w:t>
      </w:r>
      <w:r w:rsidR="00C5170C" w:rsidRPr="00C5170C">
        <w:rPr>
          <w:rFonts w:eastAsiaTheme="majorEastAsia"/>
          <w:b/>
          <w:bCs/>
          <w:snapToGrid/>
          <w:szCs w:val="28"/>
          <w:lang w:eastAsia="en-US"/>
        </w:rPr>
        <w:t>0147</w:t>
      </w:r>
      <w:r w:rsidRPr="00C5170C">
        <w:rPr>
          <w:rFonts w:eastAsiaTheme="majorEastAsia"/>
          <w:b/>
          <w:bCs/>
          <w:snapToGrid/>
          <w:szCs w:val="28"/>
          <w:lang w:eastAsia="en-US"/>
        </w:rPr>
        <w:t xml:space="preserve">  </w:t>
      </w:r>
    </w:p>
    <w:p w:rsidR="0024584A" w:rsidRPr="009D7D4D" w:rsidRDefault="0024584A" w:rsidP="0024584A">
      <w:pPr>
        <w:pStyle w:val="1"/>
        <w:spacing w:before="0"/>
        <w:ind w:firstLine="0"/>
        <w:jc w:val="center"/>
        <w:rPr>
          <w:rFonts w:ascii="Times New Roman" w:hAnsi="Times New Roman" w:cs="Times New Roman"/>
          <w:color w:val="auto"/>
        </w:rPr>
      </w:pPr>
      <w:r w:rsidRPr="00C5170C">
        <w:rPr>
          <w:rFonts w:ascii="Times New Roman" w:hAnsi="Times New Roman" w:cs="Times New Roman"/>
          <w:color w:val="auto"/>
        </w:rPr>
        <w:t>НА ЗАКУПКУ ТОВАРОВ, ВЫПОЛНЕНИЕ РАБОТ И ОКАЗА</w:t>
      </w:r>
      <w:r w:rsidRPr="009D7D4D">
        <w:rPr>
          <w:rFonts w:ascii="Times New Roman" w:hAnsi="Times New Roman" w:cs="Times New Roman"/>
          <w:color w:val="auto"/>
        </w:rPr>
        <w:t xml:space="preserve">НИЕ УСЛУГ У ЕДИНСТВЕННОГО ПОСТАВЩИКА (ИСПОЛНИТЕЛЯ, ПОДРЯДЧИКА)  </w:t>
      </w:r>
    </w:p>
    <w:p w:rsidR="0024584A" w:rsidRDefault="0024584A" w:rsidP="0024584A">
      <w:pPr>
        <w:ind w:firstLine="0"/>
        <w:jc w:val="center"/>
        <w:rPr>
          <w:b/>
          <w:sz w:val="32"/>
          <w:szCs w:val="32"/>
        </w:rPr>
      </w:pPr>
    </w:p>
    <w:p w:rsidR="0024584A" w:rsidRPr="00CB1C18" w:rsidRDefault="00C74B73" w:rsidP="0024584A">
      <w:pPr>
        <w:jc w:val="both"/>
      </w:pPr>
      <w:r>
        <w:t>Публичное</w:t>
      </w:r>
      <w:r w:rsidR="0024584A" w:rsidRPr="005D2E07">
        <w:t xml:space="preserve"> акционерное общество «Центр по перевозке грузов в контейнерах «ТрансКонтейнер» (ОАО «ТрансКонтейнер»), руководствуясь</w:t>
      </w:r>
      <w:r w:rsidR="0024584A" w:rsidRPr="00CB1C18">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w:t>
      </w:r>
      <w:r w:rsidR="005D2E07">
        <w:t xml:space="preserve"> работ, оказание услуг для нужд</w:t>
      </w:r>
      <w:r w:rsidR="0024584A">
        <w:t xml:space="preserve"> </w:t>
      </w:r>
      <w:r w:rsidR="00E57D95">
        <w:t>О</w:t>
      </w:r>
      <w:r w:rsidR="00E57D95" w:rsidRPr="00CB1C18">
        <w:t xml:space="preserve">АО </w:t>
      </w:r>
      <w:r w:rsidR="0024584A" w:rsidRPr="00CB1C18">
        <w:t>«</w:t>
      </w:r>
      <w:r w:rsidR="0024584A" w:rsidRPr="00C5170C">
        <w:t xml:space="preserve">ТрансКонтейнер» (далее – Положение о закупке),  проводит размещение заказа № </w:t>
      </w:r>
      <w:bookmarkStart w:id="0" w:name="_GoBack"/>
      <w:proofErr w:type="gramStart"/>
      <w:r w:rsidR="0024584A" w:rsidRPr="00C5170C">
        <w:t>ЕП</w:t>
      </w:r>
      <w:proofErr w:type="gramEnd"/>
      <w:r w:rsidR="0024584A" w:rsidRPr="00C5170C">
        <w:t>/</w:t>
      </w:r>
      <w:r w:rsidR="00C5170C" w:rsidRPr="00C5170C">
        <w:t>041</w:t>
      </w:r>
      <w:r w:rsidR="0024584A" w:rsidRPr="00C5170C">
        <w:t>/</w:t>
      </w:r>
      <w:r w:rsidR="00C5170C" w:rsidRPr="00C5170C">
        <w:t>ЦКПРИ</w:t>
      </w:r>
      <w:r w:rsidR="0024584A" w:rsidRPr="00C5170C">
        <w:t>/</w:t>
      </w:r>
      <w:r w:rsidR="00C5170C" w:rsidRPr="00C5170C">
        <w:t>0147</w:t>
      </w:r>
      <w:r w:rsidR="0024584A" w:rsidRPr="00C5170C">
        <w:t xml:space="preserve"> </w:t>
      </w:r>
      <w:bookmarkEnd w:id="0"/>
      <w:r w:rsidR="0024584A" w:rsidRPr="00C5170C">
        <w:t>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AF5E40" w:rsidRDefault="0024584A" w:rsidP="0024584A">
      <w:pPr>
        <w:jc w:val="both"/>
      </w:pPr>
      <w:r w:rsidRPr="00CB1C18">
        <w:rPr>
          <w:b/>
        </w:rPr>
        <w:t>Заказчик</w:t>
      </w:r>
      <w:r>
        <w:rPr>
          <w:b/>
        </w:rPr>
        <w:t xml:space="preserve">: </w:t>
      </w:r>
      <w:r w:rsidR="00C74B73">
        <w:t xml:space="preserve"> </w:t>
      </w:r>
    </w:p>
    <w:p w:rsidR="0024584A" w:rsidRDefault="00AF5E40" w:rsidP="0024584A">
      <w:pPr>
        <w:jc w:val="both"/>
        <w:rPr>
          <w:i/>
        </w:rPr>
      </w:pPr>
      <w:r>
        <w:t xml:space="preserve">1. </w:t>
      </w:r>
      <w:r w:rsidR="00C74B73">
        <w:t>П</w:t>
      </w:r>
      <w:r w:rsidR="0024584A">
        <w:t>АО «ТрансКонтейнер»</w:t>
      </w:r>
      <w:r w:rsidR="0024584A"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r w:rsidRPr="008A767E">
        <w:t xml:space="preserve">  </w:t>
      </w:r>
    </w:p>
    <w:p w:rsidR="0024584A" w:rsidRDefault="0024584A" w:rsidP="0024584A">
      <w:pPr>
        <w:jc w:val="both"/>
      </w:pPr>
      <w:r>
        <w:t>Телефон: (495) 788-17-17, факс (499) 262-75-78,</w:t>
      </w:r>
      <w:r w:rsidRPr="008A767E">
        <w:t xml:space="preserve"> электронный адрес</w:t>
      </w:r>
      <w:r w:rsidR="00F62802">
        <w:t>:</w:t>
      </w:r>
      <w:r w:rsidRPr="008A767E">
        <w:t xml:space="preserve"> </w:t>
      </w:r>
      <w:hyperlink r:id="rId12" w:history="1">
        <w:r w:rsidRPr="005B735A">
          <w:rPr>
            <w:rStyle w:val="a6"/>
          </w:rPr>
          <w:t>zakupki@trcont.ru</w:t>
        </w:r>
      </w:hyperlink>
      <w:r w:rsidRPr="008A767E">
        <w:t>.</w:t>
      </w:r>
      <w:r w:rsidR="00AF5E40">
        <w:t>;</w:t>
      </w:r>
    </w:p>
    <w:p w:rsidR="00AF5E40" w:rsidRDefault="00AF5E40" w:rsidP="0024584A">
      <w:pPr>
        <w:jc w:val="both"/>
      </w:pPr>
      <w:r>
        <w:t>2. ОАО «РЖД»</w:t>
      </w:r>
      <w:proofErr w:type="gramStart"/>
      <w:r>
        <w:t xml:space="preserve"> .</w:t>
      </w:r>
      <w:proofErr w:type="gramEnd"/>
    </w:p>
    <w:p w:rsidR="00AF5E40" w:rsidRDefault="00AF5E40" w:rsidP="00AF5E40">
      <w:pPr>
        <w:jc w:val="both"/>
      </w:pPr>
      <w:proofErr w:type="gramStart"/>
      <w:r>
        <w:t>М</w:t>
      </w:r>
      <w:r w:rsidRPr="008A767E">
        <w:t>е</w:t>
      </w:r>
      <w:r>
        <w:t xml:space="preserve">стонахождение: </w:t>
      </w:r>
      <w:r w:rsidR="00AC2236">
        <w:t xml:space="preserve">107174, г. Москва, ул. Новая </w:t>
      </w:r>
      <w:proofErr w:type="spellStart"/>
      <w:r w:rsidR="00AC2236">
        <w:t>Басманная</w:t>
      </w:r>
      <w:proofErr w:type="spellEnd"/>
      <w:r w:rsidR="00AC2236">
        <w:t>, д.2;</w:t>
      </w:r>
      <w:r>
        <w:t xml:space="preserve">Почтовый адрес: </w:t>
      </w:r>
      <w:r w:rsidR="00AC2236">
        <w:t xml:space="preserve">107174, г. Москва, ул. Новая </w:t>
      </w:r>
      <w:proofErr w:type="spellStart"/>
      <w:r w:rsidR="00AC2236">
        <w:t>Басманная</w:t>
      </w:r>
      <w:proofErr w:type="spellEnd"/>
      <w:r w:rsidR="00AC2236">
        <w:t>, д.2;</w:t>
      </w:r>
      <w:r w:rsidRPr="008A767E">
        <w:t xml:space="preserve"> </w:t>
      </w:r>
      <w:proofErr w:type="gramEnd"/>
    </w:p>
    <w:p w:rsidR="00AF5E40" w:rsidRPr="0058371E" w:rsidRDefault="00AF5E40" w:rsidP="00AF5E40">
      <w:pPr>
        <w:jc w:val="both"/>
        <w:rPr>
          <w:color w:val="0070C0"/>
          <w:u w:val="single"/>
        </w:rPr>
      </w:pPr>
      <w:r>
        <w:t xml:space="preserve">Телефон: </w:t>
      </w:r>
      <w:r w:rsidR="00F62802">
        <w:t xml:space="preserve">(499) 262-77-66, факс (499) 262-83-71, </w:t>
      </w:r>
      <w:r w:rsidRPr="008A767E">
        <w:t>электронный адрес</w:t>
      </w:r>
      <w:r>
        <w:t>:</w:t>
      </w:r>
      <w:r w:rsidR="00F62802" w:rsidRPr="00F62802">
        <w:t xml:space="preserve"> </w:t>
      </w:r>
      <w:proofErr w:type="spellStart"/>
      <w:r w:rsidR="00F62802" w:rsidRPr="0058371E">
        <w:rPr>
          <w:color w:val="0D15B3"/>
          <w:u w:val="single"/>
          <w:lang w:val="en-US"/>
        </w:rPr>
        <w:t>rzd</w:t>
      </w:r>
      <w:proofErr w:type="spellEnd"/>
      <w:r w:rsidR="00F62802" w:rsidRPr="0058371E">
        <w:rPr>
          <w:color w:val="0D15B3"/>
          <w:u w:val="single"/>
        </w:rPr>
        <w:t>@</w:t>
      </w:r>
      <w:proofErr w:type="spellStart"/>
      <w:r w:rsidR="00F62802" w:rsidRPr="0058371E">
        <w:rPr>
          <w:color w:val="0D15B3"/>
          <w:u w:val="single"/>
          <w:lang w:val="en-US"/>
        </w:rPr>
        <w:t>rzd</w:t>
      </w:r>
      <w:proofErr w:type="spellEnd"/>
      <w:r w:rsidR="00F62802" w:rsidRPr="0058371E">
        <w:rPr>
          <w:color w:val="0D15B3"/>
          <w:u w:val="single"/>
        </w:rPr>
        <w:t>.</w:t>
      </w:r>
      <w:proofErr w:type="spellStart"/>
      <w:r w:rsidR="00F62802" w:rsidRPr="0058371E">
        <w:rPr>
          <w:color w:val="0D15B3"/>
          <w:u w:val="single"/>
          <w:lang w:val="en-US"/>
        </w:rPr>
        <w:t>ru</w:t>
      </w:r>
      <w:proofErr w:type="spellEnd"/>
      <w:r w:rsidR="0058371E" w:rsidRPr="0058371E">
        <w:rPr>
          <w:color w:val="0D15B3"/>
          <w:u w:val="single"/>
        </w:rPr>
        <w:t>.</w:t>
      </w:r>
    </w:p>
    <w:p w:rsidR="00AF5E40" w:rsidRDefault="00AF5E40" w:rsidP="0024584A">
      <w:pPr>
        <w:jc w:val="both"/>
      </w:pPr>
    </w:p>
    <w:p w:rsidR="00FE2091" w:rsidRPr="00216833" w:rsidRDefault="00FE2091" w:rsidP="00FE2091">
      <w:pPr>
        <w:jc w:val="both"/>
        <w:rPr>
          <w:b/>
        </w:rPr>
      </w:pPr>
      <w:r w:rsidRPr="00216833">
        <w:rPr>
          <w:b/>
        </w:rPr>
        <w:t>Контактная информация</w:t>
      </w:r>
      <w:r>
        <w:rPr>
          <w:b/>
        </w:rPr>
        <w:t xml:space="preserve"> Заказчика</w:t>
      </w:r>
    </w:p>
    <w:p w:rsidR="00FE2091" w:rsidRDefault="00FE2091" w:rsidP="00FE2091">
      <w:pPr>
        <w:jc w:val="both"/>
      </w:pPr>
      <w:r>
        <w:t>Ф.И.О.: Сироткин Константин Евгеньевич</w:t>
      </w:r>
    </w:p>
    <w:p w:rsidR="00FE2091" w:rsidRPr="00331726" w:rsidRDefault="00FE2091" w:rsidP="00FE2091">
      <w:pPr>
        <w:jc w:val="both"/>
        <w:rPr>
          <w:bCs/>
          <w:szCs w:val="28"/>
        </w:rPr>
      </w:pPr>
      <w:r w:rsidRPr="00C64E36">
        <w:t>Адрес электронной почты</w:t>
      </w:r>
      <w:r w:rsidRPr="00331726">
        <w:rPr>
          <w:szCs w:val="28"/>
        </w:rPr>
        <w:t xml:space="preserve">: </w:t>
      </w:r>
      <w:hyperlink r:id="rId13" w:history="1">
        <w:r w:rsidRPr="00331726">
          <w:rPr>
            <w:rStyle w:val="a6"/>
            <w:bCs/>
            <w:color w:val="auto"/>
            <w:szCs w:val="28"/>
          </w:rPr>
          <w:t>SirotkinKE@trcont.ru</w:t>
        </w:r>
      </w:hyperlink>
    </w:p>
    <w:p w:rsidR="00FE2091" w:rsidRPr="00C64E36" w:rsidRDefault="00FE2091" w:rsidP="00FE2091">
      <w:pPr>
        <w:jc w:val="both"/>
      </w:pPr>
      <w:r>
        <w:t>Т</w:t>
      </w:r>
      <w:r w:rsidRPr="00C64E36">
        <w:t xml:space="preserve">елефон: </w:t>
      </w:r>
      <w:r>
        <w:t>(499) 262-34-92</w:t>
      </w:r>
      <w:r w:rsidRPr="00C64E36">
        <w:t xml:space="preserve">, </w:t>
      </w:r>
    </w:p>
    <w:p w:rsidR="00FE2091" w:rsidRPr="00C64E36" w:rsidRDefault="00FE2091" w:rsidP="00FE2091">
      <w:pPr>
        <w:jc w:val="both"/>
      </w:pPr>
      <w:r>
        <w:t>Ф</w:t>
      </w:r>
      <w:r w:rsidRPr="00C64E36">
        <w:t xml:space="preserve">акс: </w:t>
      </w:r>
      <w:r>
        <w:t>(499) 262-94-57</w:t>
      </w:r>
      <w:r w:rsidRPr="00C64E36">
        <w:t>.</w:t>
      </w:r>
    </w:p>
    <w:p w:rsidR="00090EF2" w:rsidRDefault="00693FEC" w:rsidP="00090EF2">
      <w:pPr>
        <w:tabs>
          <w:tab w:val="clear" w:pos="709"/>
        </w:tabs>
        <w:jc w:val="both"/>
        <w:rPr>
          <w:b/>
          <w:snapToGrid/>
          <w:szCs w:val="28"/>
        </w:rPr>
      </w:pPr>
      <w:r>
        <w:rPr>
          <w:b/>
          <w:snapToGrid/>
          <w:szCs w:val="28"/>
        </w:rPr>
        <w:t xml:space="preserve">1. </w:t>
      </w:r>
      <w:r w:rsidR="00090EF2" w:rsidRPr="00090EF2">
        <w:rPr>
          <w:b/>
          <w:snapToGrid/>
          <w:szCs w:val="28"/>
        </w:rPr>
        <w:t>Предмет Договора</w:t>
      </w:r>
      <w:r w:rsidR="00090EF2" w:rsidRPr="00090EF2">
        <w:rPr>
          <w:snapToGrid/>
          <w:szCs w:val="28"/>
        </w:rPr>
        <w:t xml:space="preserve">: оказание услуг по определению рыночной стоимости объектов оценки  (далее – </w:t>
      </w:r>
      <w:proofErr w:type="spellStart"/>
      <w:r w:rsidR="00090EF2" w:rsidRPr="00090EF2">
        <w:rPr>
          <w:snapToGrid/>
          <w:szCs w:val="28"/>
        </w:rPr>
        <w:t>Улуги</w:t>
      </w:r>
      <w:proofErr w:type="spellEnd"/>
      <w:r w:rsidR="00090EF2" w:rsidRPr="00090EF2">
        <w:rPr>
          <w:snapToGrid/>
          <w:szCs w:val="28"/>
        </w:rPr>
        <w:t>).</w:t>
      </w:r>
      <w:r w:rsidR="00090EF2" w:rsidRPr="00090EF2">
        <w:rPr>
          <w:b/>
          <w:snapToGrid/>
          <w:szCs w:val="28"/>
        </w:rPr>
        <w:t xml:space="preserve"> </w:t>
      </w:r>
    </w:p>
    <w:p w:rsidR="00090EF2" w:rsidRPr="00AC0842" w:rsidRDefault="00090EF2" w:rsidP="00090EF2">
      <w:pPr>
        <w:jc w:val="both"/>
        <w:rPr>
          <w:szCs w:val="28"/>
        </w:rPr>
      </w:pPr>
      <w:r w:rsidRPr="00AC0842">
        <w:rPr>
          <w:szCs w:val="28"/>
        </w:rPr>
        <w:t>Информация о товаре, работе, услуге:</w:t>
      </w:r>
    </w:p>
    <w:tbl>
      <w:tblPr>
        <w:tblStyle w:val="ac"/>
        <w:tblW w:w="0" w:type="auto"/>
        <w:tblLook w:val="04A0" w:firstRow="1" w:lastRow="0" w:firstColumn="1" w:lastColumn="0" w:noHBand="0" w:noVBand="1"/>
      </w:tblPr>
      <w:tblGrid>
        <w:gridCol w:w="817"/>
        <w:gridCol w:w="1819"/>
        <w:gridCol w:w="1819"/>
        <w:gridCol w:w="1323"/>
        <w:gridCol w:w="1418"/>
        <w:gridCol w:w="2268"/>
      </w:tblGrid>
      <w:tr w:rsidR="00090EF2" w:rsidRPr="00AC0842" w:rsidTr="00DF7671">
        <w:tc>
          <w:tcPr>
            <w:tcW w:w="817" w:type="dxa"/>
          </w:tcPr>
          <w:p w:rsidR="00090EF2" w:rsidRPr="00314E28" w:rsidRDefault="00090EF2" w:rsidP="00DF7671">
            <w:pPr>
              <w:ind w:firstLine="0"/>
              <w:rPr>
                <w:sz w:val="24"/>
                <w:szCs w:val="24"/>
              </w:rPr>
            </w:pPr>
            <w:r w:rsidRPr="00314E28">
              <w:rPr>
                <w:sz w:val="24"/>
                <w:szCs w:val="24"/>
              </w:rPr>
              <w:t>№</w:t>
            </w:r>
          </w:p>
        </w:tc>
        <w:tc>
          <w:tcPr>
            <w:tcW w:w="1819" w:type="dxa"/>
          </w:tcPr>
          <w:p w:rsidR="00090EF2" w:rsidRPr="00314E28" w:rsidRDefault="00090EF2" w:rsidP="00DF7671">
            <w:pPr>
              <w:ind w:firstLine="0"/>
              <w:rPr>
                <w:sz w:val="24"/>
                <w:szCs w:val="24"/>
              </w:rPr>
            </w:pPr>
            <w:r w:rsidRPr="00314E28">
              <w:rPr>
                <w:sz w:val="24"/>
                <w:szCs w:val="24"/>
              </w:rPr>
              <w:t>Классификация по ОКДП</w:t>
            </w:r>
          </w:p>
        </w:tc>
        <w:tc>
          <w:tcPr>
            <w:tcW w:w="1819" w:type="dxa"/>
          </w:tcPr>
          <w:p w:rsidR="00090EF2" w:rsidRPr="00314E28" w:rsidRDefault="00090EF2" w:rsidP="00DF7671">
            <w:pPr>
              <w:ind w:firstLine="0"/>
              <w:rPr>
                <w:sz w:val="24"/>
                <w:szCs w:val="24"/>
              </w:rPr>
            </w:pPr>
            <w:r w:rsidRPr="00314E28">
              <w:rPr>
                <w:sz w:val="24"/>
                <w:szCs w:val="24"/>
              </w:rPr>
              <w:t>Классификация по ОКВЭД</w:t>
            </w:r>
          </w:p>
        </w:tc>
        <w:tc>
          <w:tcPr>
            <w:tcW w:w="1323" w:type="dxa"/>
          </w:tcPr>
          <w:p w:rsidR="00090EF2" w:rsidRPr="00314E28" w:rsidRDefault="00090EF2" w:rsidP="00DF7671">
            <w:pPr>
              <w:ind w:firstLine="0"/>
              <w:rPr>
                <w:sz w:val="24"/>
                <w:szCs w:val="24"/>
              </w:rPr>
            </w:pPr>
            <w:r w:rsidRPr="00314E28">
              <w:rPr>
                <w:sz w:val="24"/>
                <w:szCs w:val="24"/>
              </w:rPr>
              <w:t>Ед. измерения</w:t>
            </w:r>
          </w:p>
        </w:tc>
        <w:tc>
          <w:tcPr>
            <w:tcW w:w="1418" w:type="dxa"/>
          </w:tcPr>
          <w:p w:rsidR="00090EF2" w:rsidRPr="00314E28" w:rsidRDefault="00090EF2" w:rsidP="00DF7671">
            <w:pPr>
              <w:ind w:firstLine="0"/>
              <w:rPr>
                <w:sz w:val="24"/>
                <w:szCs w:val="24"/>
              </w:rPr>
            </w:pPr>
            <w:r w:rsidRPr="00314E28">
              <w:rPr>
                <w:sz w:val="24"/>
                <w:szCs w:val="24"/>
              </w:rPr>
              <w:t>Количество (Объем)</w:t>
            </w:r>
          </w:p>
        </w:tc>
        <w:tc>
          <w:tcPr>
            <w:tcW w:w="2268" w:type="dxa"/>
          </w:tcPr>
          <w:p w:rsidR="00090EF2" w:rsidRPr="00314E28" w:rsidRDefault="00090EF2" w:rsidP="00DF7671">
            <w:pPr>
              <w:ind w:firstLine="0"/>
              <w:rPr>
                <w:sz w:val="24"/>
                <w:szCs w:val="24"/>
              </w:rPr>
            </w:pPr>
            <w:r w:rsidRPr="00314E28">
              <w:rPr>
                <w:sz w:val="24"/>
                <w:szCs w:val="24"/>
              </w:rPr>
              <w:t>Дополнительные сведения</w:t>
            </w:r>
          </w:p>
        </w:tc>
      </w:tr>
      <w:tr w:rsidR="00090EF2" w:rsidRPr="00AC0842" w:rsidTr="00DF7671">
        <w:tc>
          <w:tcPr>
            <w:tcW w:w="817" w:type="dxa"/>
          </w:tcPr>
          <w:p w:rsidR="00090EF2" w:rsidRPr="00314E28" w:rsidRDefault="00090EF2" w:rsidP="00DF7671">
            <w:pPr>
              <w:ind w:firstLine="0"/>
              <w:jc w:val="center"/>
              <w:rPr>
                <w:sz w:val="24"/>
                <w:szCs w:val="24"/>
              </w:rPr>
            </w:pPr>
            <w:r w:rsidRPr="00314E28">
              <w:rPr>
                <w:sz w:val="24"/>
                <w:szCs w:val="24"/>
              </w:rPr>
              <w:t>1.</w:t>
            </w:r>
          </w:p>
        </w:tc>
        <w:tc>
          <w:tcPr>
            <w:tcW w:w="1819" w:type="dxa"/>
          </w:tcPr>
          <w:p w:rsidR="00090EF2" w:rsidRPr="00314E28" w:rsidRDefault="00090EF2" w:rsidP="00DF7671">
            <w:pPr>
              <w:ind w:firstLine="0"/>
              <w:jc w:val="center"/>
              <w:rPr>
                <w:sz w:val="24"/>
                <w:szCs w:val="24"/>
              </w:rPr>
            </w:pPr>
            <w:r w:rsidRPr="00314E28">
              <w:rPr>
                <w:sz w:val="24"/>
                <w:szCs w:val="24"/>
              </w:rPr>
              <w:t>7412041</w:t>
            </w:r>
          </w:p>
        </w:tc>
        <w:tc>
          <w:tcPr>
            <w:tcW w:w="1819" w:type="dxa"/>
          </w:tcPr>
          <w:p w:rsidR="00090EF2" w:rsidRPr="00314E28" w:rsidRDefault="00090EF2" w:rsidP="00DF7671">
            <w:pPr>
              <w:ind w:firstLine="0"/>
              <w:jc w:val="center"/>
              <w:rPr>
                <w:sz w:val="24"/>
                <w:szCs w:val="24"/>
              </w:rPr>
            </w:pPr>
            <w:r w:rsidRPr="00314E28">
              <w:rPr>
                <w:sz w:val="24"/>
                <w:szCs w:val="24"/>
              </w:rPr>
              <w:t>74.12</w:t>
            </w:r>
          </w:p>
        </w:tc>
        <w:tc>
          <w:tcPr>
            <w:tcW w:w="1323" w:type="dxa"/>
          </w:tcPr>
          <w:p w:rsidR="00090EF2" w:rsidRPr="00314E28" w:rsidRDefault="00090EF2" w:rsidP="00DF7671">
            <w:pPr>
              <w:ind w:firstLine="0"/>
              <w:jc w:val="center"/>
              <w:rPr>
                <w:sz w:val="24"/>
                <w:szCs w:val="24"/>
              </w:rPr>
            </w:pPr>
            <w:r w:rsidRPr="00314E28">
              <w:rPr>
                <w:sz w:val="24"/>
                <w:szCs w:val="24"/>
              </w:rPr>
              <w:t>Условная единица</w:t>
            </w:r>
          </w:p>
        </w:tc>
        <w:tc>
          <w:tcPr>
            <w:tcW w:w="1418" w:type="dxa"/>
          </w:tcPr>
          <w:p w:rsidR="00090EF2" w:rsidRPr="00314E28" w:rsidRDefault="00090EF2" w:rsidP="00DF7671">
            <w:pPr>
              <w:ind w:firstLine="0"/>
              <w:jc w:val="center"/>
              <w:rPr>
                <w:sz w:val="24"/>
                <w:szCs w:val="24"/>
              </w:rPr>
            </w:pPr>
            <w:r w:rsidRPr="00314E28">
              <w:rPr>
                <w:sz w:val="24"/>
                <w:szCs w:val="24"/>
              </w:rPr>
              <w:t>1</w:t>
            </w:r>
          </w:p>
        </w:tc>
        <w:tc>
          <w:tcPr>
            <w:tcW w:w="2268" w:type="dxa"/>
          </w:tcPr>
          <w:p w:rsidR="00090EF2" w:rsidRDefault="00090EF2" w:rsidP="00DF7671">
            <w:pPr>
              <w:ind w:firstLine="0"/>
              <w:jc w:val="center"/>
              <w:rPr>
                <w:sz w:val="24"/>
                <w:szCs w:val="24"/>
              </w:rPr>
            </w:pPr>
            <w:r w:rsidRPr="00314E28">
              <w:rPr>
                <w:sz w:val="24"/>
                <w:szCs w:val="24"/>
              </w:rPr>
              <w:t>Строка годового плана закупок</w:t>
            </w:r>
          </w:p>
          <w:p w:rsidR="00090EF2" w:rsidRPr="00314E28" w:rsidRDefault="00090EF2" w:rsidP="00DF7671">
            <w:pPr>
              <w:ind w:firstLine="0"/>
              <w:jc w:val="center"/>
              <w:rPr>
                <w:sz w:val="24"/>
                <w:szCs w:val="24"/>
              </w:rPr>
            </w:pPr>
            <w:r w:rsidRPr="00314E28">
              <w:rPr>
                <w:sz w:val="24"/>
                <w:szCs w:val="24"/>
              </w:rPr>
              <w:t xml:space="preserve"> № 751</w:t>
            </w:r>
          </w:p>
        </w:tc>
      </w:tr>
    </w:tbl>
    <w:p w:rsidR="00090EF2" w:rsidRPr="00090EF2" w:rsidRDefault="00090EF2" w:rsidP="00090EF2">
      <w:pPr>
        <w:tabs>
          <w:tab w:val="clear" w:pos="709"/>
        </w:tabs>
        <w:jc w:val="both"/>
        <w:rPr>
          <w:b/>
          <w:snapToGrid/>
          <w:szCs w:val="28"/>
        </w:rPr>
      </w:pPr>
    </w:p>
    <w:p w:rsidR="00090EF2" w:rsidRPr="00090EF2" w:rsidRDefault="00693FEC" w:rsidP="00090EF2">
      <w:pPr>
        <w:tabs>
          <w:tab w:val="clear" w:pos="709"/>
        </w:tabs>
        <w:jc w:val="both"/>
        <w:rPr>
          <w:snapToGrid/>
          <w:szCs w:val="28"/>
        </w:rPr>
      </w:pPr>
      <w:r>
        <w:rPr>
          <w:b/>
          <w:snapToGrid/>
          <w:szCs w:val="28"/>
        </w:rPr>
        <w:t xml:space="preserve">2. </w:t>
      </w:r>
      <w:r w:rsidR="00090EF2" w:rsidRPr="00090EF2">
        <w:rPr>
          <w:b/>
          <w:snapToGrid/>
          <w:szCs w:val="28"/>
        </w:rPr>
        <w:t xml:space="preserve">Объекты оценки: </w:t>
      </w:r>
      <w:r w:rsidR="00090EF2" w:rsidRPr="00090EF2">
        <w:rPr>
          <w:snapToGrid/>
          <w:szCs w:val="28"/>
        </w:rPr>
        <w:t xml:space="preserve">право субаренды частей земельного участка с кадастровым номером 77:07:05011:040 с правом реконструкции и капитального </w:t>
      </w:r>
      <w:r w:rsidR="00090EF2" w:rsidRPr="00090EF2">
        <w:rPr>
          <w:snapToGrid/>
          <w:szCs w:val="28"/>
        </w:rPr>
        <w:lastRenderedPageBreak/>
        <w:t xml:space="preserve">строительства объектов </w:t>
      </w:r>
      <w:proofErr w:type="spellStart"/>
      <w:r w:rsidR="00090EF2" w:rsidRPr="00090EF2">
        <w:rPr>
          <w:snapToGrid/>
          <w:szCs w:val="28"/>
        </w:rPr>
        <w:t>терминально</w:t>
      </w:r>
      <w:proofErr w:type="spellEnd"/>
      <w:r w:rsidR="00090EF2" w:rsidRPr="00090EF2">
        <w:rPr>
          <w:snapToGrid/>
          <w:szCs w:val="28"/>
        </w:rPr>
        <w:t>-логистического комплекса «</w:t>
      </w:r>
      <w:proofErr w:type="spellStart"/>
      <w:r w:rsidR="00090EF2" w:rsidRPr="00090EF2">
        <w:rPr>
          <w:snapToGrid/>
          <w:szCs w:val="28"/>
        </w:rPr>
        <w:t>Кунцево</w:t>
      </w:r>
      <w:proofErr w:type="spellEnd"/>
      <w:r w:rsidR="00090EF2" w:rsidRPr="00090EF2">
        <w:rPr>
          <w:snapToGrid/>
          <w:szCs w:val="28"/>
        </w:rPr>
        <w:t>-</w:t>
      </w:r>
      <w:proofErr w:type="gramStart"/>
      <w:r w:rsidR="00090EF2" w:rsidRPr="00090EF2">
        <w:rPr>
          <w:snapToGrid/>
          <w:szCs w:val="28"/>
          <w:lang w:val="en-US"/>
        </w:rPr>
        <w:t>II</w:t>
      </w:r>
      <w:proofErr w:type="gramEnd"/>
      <w:r w:rsidR="00090EF2" w:rsidRPr="00090EF2">
        <w:rPr>
          <w:snapToGrid/>
          <w:szCs w:val="28"/>
        </w:rPr>
        <w:t>» и объекты, принадлежащие ПАО «ТрансКонтейнер», находящиеся в зоне строительства ТЛК «Кунцево-2».</w:t>
      </w:r>
    </w:p>
    <w:p w:rsidR="00090EF2" w:rsidRPr="00090EF2" w:rsidRDefault="00693FEC" w:rsidP="00090EF2">
      <w:pPr>
        <w:tabs>
          <w:tab w:val="clear" w:pos="709"/>
        </w:tabs>
        <w:jc w:val="both"/>
        <w:rPr>
          <w:snapToGrid/>
          <w:szCs w:val="28"/>
        </w:rPr>
      </w:pPr>
      <w:r>
        <w:rPr>
          <w:b/>
          <w:snapToGrid/>
          <w:szCs w:val="28"/>
        </w:rPr>
        <w:t xml:space="preserve">3. </w:t>
      </w:r>
      <w:r w:rsidR="00090EF2" w:rsidRPr="00090EF2">
        <w:rPr>
          <w:b/>
          <w:snapToGrid/>
          <w:szCs w:val="28"/>
        </w:rPr>
        <w:t xml:space="preserve">Количество (Объем): </w:t>
      </w:r>
      <w:r w:rsidR="00090EF2" w:rsidRPr="00090EF2">
        <w:rPr>
          <w:snapToGrid/>
          <w:szCs w:val="28"/>
        </w:rPr>
        <w:t xml:space="preserve">1 условная единица. </w:t>
      </w:r>
    </w:p>
    <w:p w:rsidR="00090EF2" w:rsidRPr="00090EF2" w:rsidRDefault="00693FEC" w:rsidP="00090EF2">
      <w:pPr>
        <w:tabs>
          <w:tab w:val="clear" w:pos="709"/>
        </w:tabs>
        <w:jc w:val="both"/>
        <w:rPr>
          <w:snapToGrid/>
          <w:szCs w:val="28"/>
        </w:rPr>
      </w:pPr>
      <w:r>
        <w:rPr>
          <w:b/>
          <w:snapToGrid/>
          <w:szCs w:val="28"/>
        </w:rPr>
        <w:t xml:space="preserve">4. </w:t>
      </w:r>
      <w:r w:rsidR="00090EF2" w:rsidRPr="00090EF2">
        <w:rPr>
          <w:b/>
          <w:snapToGrid/>
          <w:szCs w:val="28"/>
        </w:rPr>
        <w:t>Результат Услуг:</w:t>
      </w:r>
      <w:r w:rsidR="00090EF2" w:rsidRPr="00090EF2">
        <w:rPr>
          <w:snapToGrid/>
          <w:szCs w:val="28"/>
        </w:rPr>
        <w:t xml:space="preserve"> отчет об оценке на каждый объект оценки.</w:t>
      </w:r>
    </w:p>
    <w:p w:rsidR="00090EF2" w:rsidRPr="00090EF2" w:rsidRDefault="00693FEC" w:rsidP="00090EF2">
      <w:pPr>
        <w:tabs>
          <w:tab w:val="clear" w:pos="709"/>
        </w:tabs>
        <w:ind w:right="-83" w:firstLine="720"/>
        <w:jc w:val="both"/>
        <w:rPr>
          <w:iCs/>
          <w:snapToGrid/>
          <w:szCs w:val="28"/>
        </w:rPr>
      </w:pPr>
      <w:r>
        <w:rPr>
          <w:b/>
          <w:snapToGrid/>
          <w:szCs w:val="28"/>
        </w:rPr>
        <w:t xml:space="preserve">5. </w:t>
      </w:r>
      <w:r w:rsidR="00090EF2" w:rsidRPr="00090EF2">
        <w:rPr>
          <w:b/>
          <w:snapToGrid/>
          <w:szCs w:val="28"/>
        </w:rPr>
        <w:t xml:space="preserve">Цена Договора: </w:t>
      </w:r>
      <w:r w:rsidR="00090EF2" w:rsidRPr="00090EF2">
        <w:rPr>
          <w:snapToGrid/>
          <w:sz w:val="24"/>
          <w:szCs w:val="24"/>
        </w:rPr>
        <w:t>1 200 000 рублей без учета НДС</w:t>
      </w:r>
      <w:r w:rsidR="00090EF2" w:rsidRPr="00090EF2">
        <w:rPr>
          <w:iCs/>
          <w:snapToGrid/>
          <w:szCs w:val="28"/>
        </w:rPr>
        <w:t>. НДС начисляется в соответствии с законодательством Российской Федерации.</w:t>
      </w:r>
    </w:p>
    <w:p w:rsidR="00090EF2" w:rsidRPr="00090EF2" w:rsidRDefault="00693FEC" w:rsidP="00090EF2">
      <w:pPr>
        <w:tabs>
          <w:tab w:val="clear" w:pos="709"/>
        </w:tabs>
        <w:ind w:right="-83" w:firstLine="720"/>
        <w:jc w:val="both"/>
        <w:rPr>
          <w:b/>
          <w:iCs/>
          <w:snapToGrid/>
          <w:szCs w:val="28"/>
        </w:rPr>
      </w:pPr>
      <w:r>
        <w:rPr>
          <w:b/>
          <w:iCs/>
          <w:snapToGrid/>
          <w:szCs w:val="28"/>
        </w:rPr>
        <w:t xml:space="preserve">6. </w:t>
      </w:r>
      <w:r w:rsidR="00090EF2" w:rsidRPr="00090EF2">
        <w:rPr>
          <w:b/>
          <w:iCs/>
          <w:snapToGrid/>
          <w:szCs w:val="28"/>
        </w:rPr>
        <w:t xml:space="preserve">Форма, сроки и порядок оплаты: </w:t>
      </w:r>
    </w:p>
    <w:tbl>
      <w:tblPr>
        <w:tblW w:w="10003" w:type="dxa"/>
        <w:tblInd w:w="28" w:type="dxa"/>
        <w:tblLook w:val="0000" w:firstRow="0" w:lastRow="0" w:firstColumn="0" w:lastColumn="0" w:noHBand="0" w:noVBand="0"/>
      </w:tblPr>
      <w:tblGrid>
        <w:gridCol w:w="10003"/>
      </w:tblGrid>
      <w:tr w:rsidR="00090EF2" w:rsidRPr="00090EF2" w:rsidTr="00DF7671">
        <w:trPr>
          <w:trHeight w:val="836"/>
        </w:trPr>
        <w:tc>
          <w:tcPr>
            <w:tcW w:w="10003" w:type="dxa"/>
          </w:tcPr>
          <w:p w:rsidR="00090EF2" w:rsidRPr="00090EF2" w:rsidRDefault="00090EF2" w:rsidP="00090EF2">
            <w:pPr>
              <w:tabs>
                <w:tab w:val="clear" w:pos="709"/>
              </w:tabs>
              <w:spacing w:before="120" w:after="120"/>
              <w:ind w:firstLine="681"/>
              <w:jc w:val="both"/>
              <w:rPr>
                <w:snapToGrid/>
                <w:szCs w:val="28"/>
              </w:rPr>
            </w:pPr>
            <w:r w:rsidRPr="00090EF2">
              <w:rPr>
                <w:snapToGrid/>
                <w:szCs w:val="28"/>
              </w:rPr>
              <w:t>ПАО  «ТрансКонтейнер» осуществляет оплату услуг ООО «Эрнст энд Янг-оценка и консультационные услуги» в соответствии со следующим графиком:</w:t>
            </w:r>
          </w:p>
        </w:tc>
      </w:tr>
      <w:tr w:rsidR="00090EF2" w:rsidRPr="00090EF2" w:rsidTr="00DF7671">
        <w:tc>
          <w:tcPr>
            <w:tcW w:w="10003" w:type="dxa"/>
          </w:tcPr>
          <w:p w:rsidR="00090EF2" w:rsidRPr="00090EF2" w:rsidRDefault="00090EF2" w:rsidP="00090EF2">
            <w:pPr>
              <w:tabs>
                <w:tab w:val="clear" w:pos="709"/>
              </w:tabs>
              <w:autoSpaceDE w:val="0"/>
              <w:autoSpaceDN w:val="0"/>
              <w:spacing w:before="120" w:after="120"/>
              <w:ind w:firstLine="114"/>
              <w:jc w:val="both"/>
              <w:rPr>
                <w:snapToGrid/>
                <w:szCs w:val="28"/>
                <w:lang w:eastAsia="en-US" w:bidi="en-US"/>
              </w:rPr>
            </w:pPr>
            <w:r w:rsidRPr="00090EF2">
              <w:rPr>
                <w:snapToGrid/>
                <w:szCs w:val="28"/>
                <w:lang w:eastAsia="en-US" w:bidi="en-US"/>
              </w:rPr>
              <w:t>Платеж в размере 70% от стоимости Услуг  осуществляется после подписания Договора и не позднее 5 рабочих дней после выставления счета.</w:t>
            </w:r>
          </w:p>
          <w:p w:rsidR="00090EF2" w:rsidRPr="00090EF2" w:rsidRDefault="00090EF2" w:rsidP="00090EF2">
            <w:pPr>
              <w:tabs>
                <w:tab w:val="clear" w:pos="709"/>
              </w:tabs>
              <w:autoSpaceDE w:val="0"/>
              <w:autoSpaceDN w:val="0"/>
              <w:spacing w:before="120" w:after="120"/>
              <w:ind w:left="-28" w:firstLine="142"/>
              <w:jc w:val="both"/>
              <w:rPr>
                <w:snapToGrid/>
                <w:szCs w:val="28"/>
                <w:lang w:eastAsia="en-US" w:bidi="en-US"/>
              </w:rPr>
            </w:pPr>
            <w:r w:rsidRPr="00090EF2">
              <w:rPr>
                <w:snapToGrid/>
                <w:szCs w:val="28"/>
                <w:lang w:eastAsia="en-US" w:bidi="en-US"/>
              </w:rPr>
              <w:t>Платеж в размере 30% от стоимости Услуг осуществляется после предоставления ООО «Эрнст энд Янг»  проектов Отчетов по оценке в электронном виде и не позднее 5 рабочих дней после выставления соответствующего счета.</w:t>
            </w:r>
          </w:p>
        </w:tc>
      </w:tr>
    </w:tbl>
    <w:p w:rsidR="00090EF2" w:rsidRPr="00090EF2" w:rsidRDefault="00693FEC" w:rsidP="00090EF2">
      <w:pPr>
        <w:tabs>
          <w:tab w:val="clear" w:pos="709"/>
        </w:tabs>
        <w:ind w:right="-83" w:firstLine="720"/>
        <w:jc w:val="both"/>
        <w:rPr>
          <w:iCs/>
          <w:snapToGrid/>
          <w:szCs w:val="28"/>
        </w:rPr>
      </w:pPr>
      <w:r>
        <w:rPr>
          <w:b/>
          <w:iCs/>
          <w:snapToGrid/>
          <w:szCs w:val="28"/>
        </w:rPr>
        <w:t xml:space="preserve">7. </w:t>
      </w:r>
      <w:r w:rsidR="00090EF2" w:rsidRPr="00090EF2">
        <w:rPr>
          <w:b/>
          <w:iCs/>
          <w:snapToGrid/>
          <w:szCs w:val="28"/>
        </w:rPr>
        <w:t>Срок оказания услуг</w:t>
      </w:r>
      <w:r w:rsidR="00090EF2" w:rsidRPr="00090EF2">
        <w:rPr>
          <w:iCs/>
          <w:snapToGrid/>
          <w:szCs w:val="28"/>
        </w:rPr>
        <w:t>: Проект Отчета предоставляется в течение 15 (пятнадцати) рабочих дней, считая с момента подписания задания на оценку, при условии выполнения Заказчиком своих обязательств и обязанностей по заданию на оценку и договору, а также предоставления информации, необходимой для проведения оценки в соответствии с запросом, направляемым Исполнителем Заказчику. Окончательная версия Отчета предоставляется в течение 5 (пяти) рабочих дней после получения комментариев по проекту Отчета при условии выполнения Заказчиком своих обязательств и обязанностей по заданию на оценку и договору. В случае отсутствия комментариев в течение 5 (пяти) рабочих дней после получения проекта Отчета предполагается, что Отчет принят Заказчиком без замечаний.</w:t>
      </w:r>
    </w:p>
    <w:p w:rsidR="00090EF2" w:rsidRPr="00090EF2" w:rsidRDefault="00693FEC" w:rsidP="00090EF2">
      <w:pPr>
        <w:tabs>
          <w:tab w:val="clear" w:pos="709"/>
        </w:tabs>
        <w:autoSpaceDE w:val="0"/>
        <w:autoSpaceDN w:val="0"/>
        <w:adjustRightInd w:val="0"/>
        <w:ind w:left="708" w:firstLine="0"/>
        <w:jc w:val="both"/>
        <w:rPr>
          <w:i/>
          <w:snapToGrid/>
          <w:szCs w:val="28"/>
          <w:lang w:eastAsia="en-US"/>
        </w:rPr>
      </w:pPr>
      <w:r>
        <w:rPr>
          <w:b/>
          <w:iCs/>
          <w:snapToGrid/>
          <w:szCs w:val="28"/>
          <w:lang w:eastAsia="en-US"/>
        </w:rPr>
        <w:t xml:space="preserve">8. </w:t>
      </w:r>
      <w:r w:rsidR="00090EF2" w:rsidRPr="00090EF2">
        <w:rPr>
          <w:b/>
          <w:iCs/>
          <w:snapToGrid/>
          <w:szCs w:val="28"/>
          <w:lang w:eastAsia="en-US"/>
        </w:rPr>
        <w:t xml:space="preserve">Место оказания услуг: </w:t>
      </w:r>
      <w:r w:rsidR="00090EF2" w:rsidRPr="00090EF2">
        <w:rPr>
          <w:iCs/>
          <w:snapToGrid/>
          <w:szCs w:val="28"/>
          <w:lang w:eastAsia="en-US"/>
        </w:rPr>
        <w:t>г. Москва.</w:t>
      </w:r>
    </w:p>
    <w:p w:rsidR="0024584A" w:rsidRPr="004F54F1" w:rsidRDefault="00693FEC" w:rsidP="0024584A">
      <w:pPr>
        <w:pStyle w:val="Default"/>
        <w:ind w:firstLine="708"/>
        <w:jc w:val="both"/>
        <w:rPr>
          <w:b/>
          <w:iCs/>
          <w:color w:val="auto"/>
          <w:sz w:val="28"/>
          <w:szCs w:val="28"/>
        </w:rPr>
      </w:pPr>
      <w:r>
        <w:rPr>
          <w:b/>
          <w:iCs/>
          <w:color w:val="auto"/>
          <w:sz w:val="28"/>
          <w:szCs w:val="28"/>
        </w:rPr>
        <w:t>9</w:t>
      </w:r>
      <w:r w:rsidR="0024584A" w:rsidRPr="003927D3">
        <w:rPr>
          <w:b/>
          <w:color w:val="auto"/>
          <w:sz w:val="28"/>
          <w:szCs w:val="28"/>
        </w:rPr>
        <w:t xml:space="preserve">. Информация о поставщике: </w:t>
      </w:r>
      <w:r w:rsidR="004F54F1" w:rsidRPr="004F54F1">
        <w:rPr>
          <w:sz w:val="28"/>
          <w:szCs w:val="28"/>
        </w:rPr>
        <w:t>ООО «Эрнст энд Янг-оценка и консультационные услуги»</w:t>
      </w:r>
      <w:r w:rsidR="0024584A" w:rsidRPr="004F54F1">
        <w:rPr>
          <w:color w:val="auto"/>
          <w:sz w:val="28"/>
          <w:szCs w:val="28"/>
        </w:rPr>
        <w:t>.</w:t>
      </w:r>
    </w:p>
    <w:p w:rsidR="00C02E66" w:rsidRPr="00C02E66" w:rsidRDefault="00497234" w:rsidP="00C02E66">
      <w:r w:rsidRPr="00C02E66">
        <w:t>ОГРН:</w:t>
      </w:r>
      <w:r w:rsidR="00C02E66" w:rsidRPr="00C02E66">
        <w:t xml:space="preserve"> 1047797042171</w:t>
      </w:r>
      <w:r w:rsidRPr="00C02E66">
        <w:t xml:space="preserve"> </w:t>
      </w:r>
    </w:p>
    <w:p w:rsidR="00497234" w:rsidRPr="00C02E66" w:rsidRDefault="00497234" w:rsidP="00C02E66">
      <w:r w:rsidRPr="00C02E66">
        <w:t xml:space="preserve">ИНН: </w:t>
      </w:r>
      <w:r w:rsidR="00A45935" w:rsidRPr="00C02E66">
        <w:t>7705637264</w:t>
      </w:r>
    </w:p>
    <w:p w:rsidR="00C02E66" w:rsidRPr="00C02E66" w:rsidRDefault="00497234" w:rsidP="0024584A">
      <w:pPr>
        <w:jc w:val="both"/>
      </w:pPr>
      <w:r w:rsidRPr="00C02E66">
        <w:t>КПП:</w:t>
      </w:r>
      <w:r w:rsidR="00C02E66" w:rsidRPr="00C02E66">
        <w:t xml:space="preserve"> 770501001</w:t>
      </w:r>
      <w:r w:rsidRPr="00C02E66">
        <w:t xml:space="preserve"> </w:t>
      </w:r>
    </w:p>
    <w:p w:rsidR="0024584A" w:rsidRPr="00C02E66" w:rsidRDefault="0024584A" w:rsidP="0024584A">
      <w:pPr>
        <w:jc w:val="both"/>
      </w:pPr>
      <w:r w:rsidRPr="00C02E66">
        <w:t>Место нахождения:</w:t>
      </w:r>
      <w:r w:rsidR="00A45935" w:rsidRPr="00C02E66">
        <w:t xml:space="preserve"> г. Москва, 115035, Садовническая наб., д.77, стр.1</w:t>
      </w:r>
      <w:r w:rsidR="00C02E66">
        <w:t>.</w:t>
      </w:r>
    </w:p>
    <w:p w:rsidR="0024584A" w:rsidRPr="003927D3" w:rsidRDefault="0024584A" w:rsidP="0024584A">
      <w:pPr>
        <w:ind w:firstLine="0"/>
        <w:jc w:val="both"/>
      </w:pPr>
      <w:r w:rsidRPr="00C02E66">
        <w:tab/>
        <w:t xml:space="preserve">Почтовый адрес: </w:t>
      </w:r>
      <w:r w:rsidR="00A45935" w:rsidRPr="00C02E66">
        <w:t xml:space="preserve">г. Москва, 115035, Садовническая наб., д.77, стр.1. </w:t>
      </w:r>
    </w:p>
    <w:p w:rsidR="00B35173" w:rsidRPr="00B35173" w:rsidRDefault="0024584A" w:rsidP="00B35173">
      <w:pPr>
        <w:pStyle w:val="11"/>
        <w:ind w:firstLine="708"/>
        <w:rPr>
          <w:b/>
        </w:rPr>
      </w:pPr>
      <w:r w:rsidRPr="003927D3">
        <w:t xml:space="preserve">Представитель(ли) Поставщика, ответственный(ые) со стороны поставщика – </w:t>
      </w:r>
      <w:r w:rsidR="00B35173">
        <w:t>Копылов А.В.</w:t>
      </w:r>
      <w:r w:rsidRPr="003927D3">
        <w:t>, тел.(факс)</w:t>
      </w:r>
      <w:r w:rsidR="00B35173">
        <w:t xml:space="preserve"> (495) 755-97-00</w:t>
      </w:r>
      <w:r w:rsidRPr="003927D3">
        <w:t>, адрес электронной почты</w:t>
      </w:r>
      <w:r w:rsidR="00B35173" w:rsidRPr="00B35173">
        <w:t xml:space="preserve">:  </w:t>
      </w:r>
      <w:hyperlink r:id="rId14" w:history="1">
        <w:r w:rsidR="00B35173" w:rsidRPr="00314E28">
          <w:rPr>
            <w:rStyle w:val="a6"/>
            <w:color w:val="auto"/>
            <w:lang w:val="en-US"/>
          </w:rPr>
          <w:t>alexander</w:t>
        </w:r>
        <w:r w:rsidR="00B35173" w:rsidRPr="00314E28">
          <w:rPr>
            <w:rStyle w:val="a6"/>
            <w:color w:val="auto"/>
          </w:rPr>
          <w:t>.</w:t>
        </w:r>
        <w:r w:rsidR="00B35173" w:rsidRPr="00314E28">
          <w:rPr>
            <w:rStyle w:val="a6"/>
            <w:color w:val="auto"/>
            <w:lang w:val="en-US"/>
          </w:rPr>
          <w:t>kopylov</w:t>
        </w:r>
        <w:r w:rsidR="00B35173" w:rsidRPr="00314E28">
          <w:rPr>
            <w:rStyle w:val="a6"/>
            <w:color w:val="auto"/>
          </w:rPr>
          <w:t>@</w:t>
        </w:r>
        <w:r w:rsidR="00B35173" w:rsidRPr="00314E28">
          <w:rPr>
            <w:rStyle w:val="a6"/>
            <w:color w:val="auto"/>
            <w:lang w:val="en-US"/>
          </w:rPr>
          <w:t>ru</w:t>
        </w:r>
        <w:r w:rsidR="00B35173" w:rsidRPr="00314E28">
          <w:rPr>
            <w:rStyle w:val="a6"/>
            <w:color w:val="auto"/>
          </w:rPr>
          <w:t>.</w:t>
        </w:r>
        <w:r w:rsidR="00B35173" w:rsidRPr="00314E28">
          <w:rPr>
            <w:rStyle w:val="a6"/>
            <w:color w:val="auto"/>
            <w:lang w:val="en-US"/>
          </w:rPr>
          <w:t>ey</w:t>
        </w:r>
        <w:r w:rsidR="00B35173" w:rsidRPr="00314E28">
          <w:rPr>
            <w:rStyle w:val="a6"/>
            <w:color w:val="auto"/>
          </w:rPr>
          <w:t>.</w:t>
        </w:r>
        <w:r w:rsidR="00B35173" w:rsidRPr="00314E28">
          <w:rPr>
            <w:rStyle w:val="a6"/>
            <w:color w:val="auto"/>
            <w:lang w:val="en-US"/>
          </w:rPr>
          <w:t>com</w:t>
        </w:r>
      </w:hyperlink>
      <w:r w:rsidR="00B35173" w:rsidRPr="00314E28">
        <w:rPr>
          <w:b/>
        </w:rPr>
        <w:t>.</w:t>
      </w:r>
    </w:p>
    <w:p w:rsidR="008B7F54" w:rsidRDefault="00693FEC" w:rsidP="00B35173">
      <w:pPr>
        <w:pStyle w:val="11"/>
        <w:ind w:firstLine="708"/>
      </w:pPr>
      <w:r>
        <w:rPr>
          <w:b/>
        </w:rPr>
        <w:t>10</w:t>
      </w:r>
      <w:r w:rsidR="0024584A" w:rsidRPr="003927D3">
        <w:rPr>
          <w:b/>
        </w:rPr>
        <w:t xml:space="preserve">. </w:t>
      </w:r>
      <w:proofErr w:type="gramStart"/>
      <w:r w:rsidR="0024584A" w:rsidRPr="003927D3">
        <w:rPr>
          <w:b/>
        </w:rPr>
        <w:t xml:space="preserve">Требования к </w:t>
      </w:r>
      <w:r w:rsidR="00660E44">
        <w:t>оказываемым услугам:</w:t>
      </w:r>
      <w:r w:rsidR="00660E44" w:rsidRPr="003927D3">
        <w:t xml:space="preserve"> </w:t>
      </w:r>
      <w:r w:rsidR="008B7F54">
        <w:t xml:space="preserve">соответствие Федеральному закону «Об оценочной деятельности в российской Федерации» от 29.07.1998  №135-ФЗ, действующим на момент оказания услуг федеральным стандартам оценки ФСО №1, ФСО №2, ФСО №3, ФСО №7, утвержденным приказами МЭРТ России от 20.07.2007 № 254, № 255, № 256 и от 25.09.2014   № 601, и  </w:t>
      </w:r>
      <w:r w:rsidR="008B7F54">
        <w:lastRenderedPageBreak/>
        <w:t>стандартам и правилам оценочной деятельности Общероссийской общественной организации «Российское общество оценщиков».</w:t>
      </w:r>
      <w:proofErr w:type="gramEnd"/>
    </w:p>
    <w:p w:rsidR="0024584A" w:rsidRDefault="0024584A" w:rsidP="0024584A">
      <w:pPr>
        <w:jc w:val="both"/>
      </w:pPr>
    </w:p>
    <w:p w:rsidR="0024584A" w:rsidRDefault="0024584A" w:rsidP="0024584A">
      <w:pPr>
        <w:jc w:val="both"/>
      </w:pPr>
    </w:p>
    <w:p w:rsidR="0024584A" w:rsidRPr="00C43903" w:rsidRDefault="0024584A" w:rsidP="0024584A">
      <w:pPr>
        <w:jc w:val="both"/>
        <w:rPr>
          <w:b/>
        </w:rPr>
      </w:pPr>
      <w:r w:rsidRPr="00C43903">
        <w:rPr>
          <w:b/>
        </w:rPr>
        <w:t>В НАСТОЯЩЕЕ ИЗВЕЩЕНИЕ МОГУТ БЫТЬ ВНЕСЕНЫ ИЗМЕНЕНИЯ И ДОПОЛНЕНИЯ.</w:t>
      </w:r>
    </w:p>
    <w:p w:rsidR="0024584A" w:rsidRDefault="0024584A" w:rsidP="0024584A">
      <w:pPr>
        <w:jc w:val="both"/>
      </w:pPr>
    </w:p>
    <w:p w:rsidR="0024584A" w:rsidRPr="003927D3" w:rsidRDefault="0024584A" w:rsidP="007A053B">
      <w:pPr>
        <w:jc w:val="both"/>
      </w:pPr>
    </w:p>
    <w:sectPr w:rsidR="0024584A" w:rsidRPr="003927D3" w:rsidSect="00926136">
      <w:pgSz w:w="11906" w:h="16838"/>
      <w:pgMar w:top="993"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E47" w:rsidRDefault="005E4E47" w:rsidP="00CB1C18">
      <w:r>
        <w:separator/>
      </w:r>
    </w:p>
  </w:endnote>
  <w:endnote w:type="continuationSeparator" w:id="0">
    <w:p w:rsidR="005E4E47" w:rsidRDefault="005E4E4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E47" w:rsidRDefault="005E4E47" w:rsidP="00CB1C18">
      <w:r>
        <w:separator/>
      </w:r>
    </w:p>
  </w:footnote>
  <w:footnote w:type="continuationSeparator" w:id="0">
    <w:p w:rsidR="005E4E47" w:rsidRDefault="005E4E47"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2A24DE"/>
    <w:multiLevelType w:val="hybridMultilevel"/>
    <w:tmpl w:val="08588476"/>
    <w:lvl w:ilvl="0" w:tplc="39C6EB76">
      <w:start w:val="1"/>
      <w:numFmt w:val="bullet"/>
      <w:pStyle w:val="Bodytext-Bullet"/>
      <w:lvlText w:val=""/>
      <w:lvlJc w:val="left"/>
      <w:pPr>
        <w:ind w:left="1287" w:hanging="360"/>
      </w:pPr>
      <w:rPr>
        <w:rFonts w:ascii="Symbol" w:hAnsi="Symbol" w:hint="default"/>
        <w:sz w:val="20"/>
        <w:lang w:val="en-US"/>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42A01"/>
    <w:rsid w:val="00063509"/>
    <w:rsid w:val="00071C18"/>
    <w:rsid w:val="00072C73"/>
    <w:rsid w:val="000777AB"/>
    <w:rsid w:val="00082F94"/>
    <w:rsid w:val="00084180"/>
    <w:rsid w:val="00085F72"/>
    <w:rsid w:val="00090EF2"/>
    <w:rsid w:val="000A60A3"/>
    <w:rsid w:val="000A799D"/>
    <w:rsid w:val="000B2885"/>
    <w:rsid w:val="000C5FD9"/>
    <w:rsid w:val="000D27FD"/>
    <w:rsid w:val="000D3430"/>
    <w:rsid w:val="000E77C3"/>
    <w:rsid w:val="00107B80"/>
    <w:rsid w:val="00117473"/>
    <w:rsid w:val="001212C5"/>
    <w:rsid w:val="00121857"/>
    <w:rsid w:val="00126BBB"/>
    <w:rsid w:val="00132AFA"/>
    <w:rsid w:val="00133CFF"/>
    <w:rsid w:val="0014455A"/>
    <w:rsid w:val="001475DB"/>
    <w:rsid w:val="00152424"/>
    <w:rsid w:val="00177D91"/>
    <w:rsid w:val="001A134E"/>
    <w:rsid w:val="001B0FDE"/>
    <w:rsid w:val="001C01D6"/>
    <w:rsid w:val="001C05F5"/>
    <w:rsid w:val="001D3EAA"/>
    <w:rsid w:val="001F0B3B"/>
    <w:rsid w:val="001F4F2E"/>
    <w:rsid w:val="001F52B9"/>
    <w:rsid w:val="00204B07"/>
    <w:rsid w:val="00206B3E"/>
    <w:rsid w:val="0020709B"/>
    <w:rsid w:val="00223EC3"/>
    <w:rsid w:val="002350DE"/>
    <w:rsid w:val="00243BB2"/>
    <w:rsid w:val="00245141"/>
    <w:rsid w:val="002451A7"/>
    <w:rsid w:val="0024584A"/>
    <w:rsid w:val="00251D03"/>
    <w:rsid w:val="0025329B"/>
    <w:rsid w:val="0026332C"/>
    <w:rsid w:val="002636BF"/>
    <w:rsid w:val="0028492E"/>
    <w:rsid w:val="00296517"/>
    <w:rsid w:val="00296A39"/>
    <w:rsid w:val="002A7D8B"/>
    <w:rsid w:val="002B5F73"/>
    <w:rsid w:val="002C536B"/>
    <w:rsid w:val="002D6A99"/>
    <w:rsid w:val="002E11EB"/>
    <w:rsid w:val="002E21F4"/>
    <w:rsid w:val="002E2B59"/>
    <w:rsid w:val="002E5A39"/>
    <w:rsid w:val="002F00CA"/>
    <w:rsid w:val="00302FAA"/>
    <w:rsid w:val="003038BF"/>
    <w:rsid w:val="00314E28"/>
    <w:rsid w:val="0032153B"/>
    <w:rsid w:val="003248F4"/>
    <w:rsid w:val="00334577"/>
    <w:rsid w:val="003516CC"/>
    <w:rsid w:val="0036018B"/>
    <w:rsid w:val="00385692"/>
    <w:rsid w:val="003927D3"/>
    <w:rsid w:val="00397106"/>
    <w:rsid w:val="003C7469"/>
    <w:rsid w:val="003D0AA6"/>
    <w:rsid w:val="003D1E43"/>
    <w:rsid w:val="003D239A"/>
    <w:rsid w:val="003E13B8"/>
    <w:rsid w:val="003E1D49"/>
    <w:rsid w:val="003E56FD"/>
    <w:rsid w:val="003F4415"/>
    <w:rsid w:val="00401753"/>
    <w:rsid w:val="0041301F"/>
    <w:rsid w:val="004140DA"/>
    <w:rsid w:val="00427B60"/>
    <w:rsid w:val="0044002D"/>
    <w:rsid w:val="00463104"/>
    <w:rsid w:val="00482157"/>
    <w:rsid w:val="00483D8D"/>
    <w:rsid w:val="0049189D"/>
    <w:rsid w:val="00497234"/>
    <w:rsid w:val="004B3332"/>
    <w:rsid w:val="004B7489"/>
    <w:rsid w:val="004C3E28"/>
    <w:rsid w:val="004C63EA"/>
    <w:rsid w:val="004D4FB7"/>
    <w:rsid w:val="004E09D6"/>
    <w:rsid w:val="004E7660"/>
    <w:rsid w:val="004F4C3B"/>
    <w:rsid w:val="004F54F1"/>
    <w:rsid w:val="00500D9B"/>
    <w:rsid w:val="00510572"/>
    <w:rsid w:val="00513F6C"/>
    <w:rsid w:val="00526967"/>
    <w:rsid w:val="00531303"/>
    <w:rsid w:val="00542DB9"/>
    <w:rsid w:val="0054514B"/>
    <w:rsid w:val="00561D0F"/>
    <w:rsid w:val="00564686"/>
    <w:rsid w:val="00565E96"/>
    <w:rsid w:val="0058371E"/>
    <w:rsid w:val="00583AE4"/>
    <w:rsid w:val="005941EF"/>
    <w:rsid w:val="005A69AB"/>
    <w:rsid w:val="005C6574"/>
    <w:rsid w:val="005C680F"/>
    <w:rsid w:val="005D2E07"/>
    <w:rsid w:val="005E0384"/>
    <w:rsid w:val="005E4E47"/>
    <w:rsid w:val="006072F9"/>
    <w:rsid w:val="006117F1"/>
    <w:rsid w:val="00621590"/>
    <w:rsid w:val="006323ED"/>
    <w:rsid w:val="006527AA"/>
    <w:rsid w:val="0065729B"/>
    <w:rsid w:val="0065731F"/>
    <w:rsid w:val="0066021C"/>
    <w:rsid w:val="00660E44"/>
    <w:rsid w:val="00661273"/>
    <w:rsid w:val="006713BF"/>
    <w:rsid w:val="00684FEC"/>
    <w:rsid w:val="00693FEC"/>
    <w:rsid w:val="006B32C7"/>
    <w:rsid w:val="006C610D"/>
    <w:rsid w:val="006E0A1B"/>
    <w:rsid w:val="006E0FA2"/>
    <w:rsid w:val="007022A0"/>
    <w:rsid w:val="00706492"/>
    <w:rsid w:val="0071472A"/>
    <w:rsid w:val="007203E7"/>
    <w:rsid w:val="00720B00"/>
    <w:rsid w:val="00724EED"/>
    <w:rsid w:val="007442D3"/>
    <w:rsid w:val="0075014E"/>
    <w:rsid w:val="00752FA3"/>
    <w:rsid w:val="00776EE3"/>
    <w:rsid w:val="00795795"/>
    <w:rsid w:val="007A053B"/>
    <w:rsid w:val="007B4A2D"/>
    <w:rsid w:val="007D6F31"/>
    <w:rsid w:val="007F5506"/>
    <w:rsid w:val="00801F8A"/>
    <w:rsid w:val="008128DB"/>
    <w:rsid w:val="00824610"/>
    <w:rsid w:val="00831584"/>
    <w:rsid w:val="00832B66"/>
    <w:rsid w:val="00852B23"/>
    <w:rsid w:val="008547B8"/>
    <w:rsid w:val="0086483E"/>
    <w:rsid w:val="0088075E"/>
    <w:rsid w:val="0088183A"/>
    <w:rsid w:val="00884629"/>
    <w:rsid w:val="008A767E"/>
    <w:rsid w:val="008B29D7"/>
    <w:rsid w:val="008B7F54"/>
    <w:rsid w:val="008D074D"/>
    <w:rsid w:val="008E0CEC"/>
    <w:rsid w:val="008E1656"/>
    <w:rsid w:val="008E5AAA"/>
    <w:rsid w:val="008F0A98"/>
    <w:rsid w:val="00910BE4"/>
    <w:rsid w:val="00915DBD"/>
    <w:rsid w:val="00926136"/>
    <w:rsid w:val="0092627C"/>
    <w:rsid w:val="0093062F"/>
    <w:rsid w:val="0093440D"/>
    <w:rsid w:val="0095252D"/>
    <w:rsid w:val="00956C88"/>
    <w:rsid w:val="009662B7"/>
    <w:rsid w:val="00966BF5"/>
    <w:rsid w:val="00994F52"/>
    <w:rsid w:val="009B0820"/>
    <w:rsid w:val="009B6FDE"/>
    <w:rsid w:val="009C16C0"/>
    <w:rsid w:val="009C4A5D"/>
    <w:rsid w:val="009D183B"/>
    <w:rsid w:val="009D3DCB"/>
    <w:rsid w:val="009D7D4D"/>
    <w:rsid w:val="009E536F"/>
    <w:rsid w:val="009F2FCC"/>
    <w:rsid w:val="009F36EA"/>
    <w:rsid w:val="009F3AE5"/>
    <w:rsid w:val="00A017DE"/>
    <w:rsid w:val="00A038AE"/>
    <w:rsid w:val="00A042DE"/>
    <w:rsid w:val="00A1512F"/>
    <w:rsid w:val="00A20EC2"/>
    <w:rsid w:val="00A232F1"/>
    <w:rsid w:val="00A31891"/>
    <w:rsid w:val="00A31BA8"/>
    <w:rsid w:val="00A335BC"/>
    <w:rsid w:val="00A35895"/>
    <w:rsid w:val="00A45935"/>
    <w:rsid w:val="00A67341"/>
    <w:rsid w:val="00A716A3"/>
    <w:rsid w:val="00A7517C"/>
    <w:rsid w:val="00A767DE"/>
    <w:rsid w:val="00A91ABA"/>
    <w:rsid w:val="00A9798D"/>
    <w:rsid w:val="00AA34B6"/>
    <w:rsid w:val="00AA36AF"/>
    <w:rsid w:val="00AA79FA"/>
    <w:rsid w:val="00AA7EFD"/>
    <w:rsid w:val="00AB26F8"/>
    <w:rsid w:val="00AC2236"/>
    <w:rsid w:val="00AC57C2"/>
    <w:rsid w:val="00AC799F"/>
    <w:rsid w:val="00AD69FC"/>
    <w:rsid w:val="00AE5D96"/>
    <w:rsid w:val="00AF3E8A"/>
    <w:rsid w:val="00AF4708"/>
    <w:rsid w:val="00AF58B2"/>
    <w:rsid w:val="00AF5E40"/>
    <w:rsid w:val="00B07602"/>
    <w:rsid w:val="00B20DF0"/>
    <w:rsid w:val="00B2100D"/>
    <w:rsid w:val="00B21959"/>
    <w:rsid w:val="00B3207D"/>
    <w:rsid w:val="00B35173"/>
    <w:rsid w:val="00B751B5"/>
    <w:rsid w:val="00B81AC6"/>
    <w:rsid w:val="00B81F05"/>
    <w:rsid w:val="00B8653B"/>
    <w:rsid w:val="00BB0E9C"/>
    <w:rsid w:val="00BB7300"/>
    <w:rsid w:val="00BD06F5"/>
    <w:rsid w:val="00BD3223"/>
    <w:rsid w:val="00BD6739"/>
    <w:rsid w:val="00BE061D"/>
    <w:rsid w:val="00BE4FBE"/>
    <w:rsid w:val="00BE7F31"/>
    <w:rsid w:val="00BF2940"/>
    <w:rsid w:val="00C02E66"/>
    <w:rsid w:val="00C0438E"/>
    <w:rsid w:val="00C0686E"/>
    <w:rsid w:val="00C2562C"/>
    <w:rsid w:val="00C40A83"/>
    <w:rsid w:val="00C5170C"/>
    <w:rsid w:val="00C623E6"/>
    <w:rsid w:val="00C65E91"/>
    <w:rsid w:val="00C710BB"/>
    <w:rsid w:val="00C73DDA"/>
    <w:rsid w:val="00C74B73"/>
    <w:rsid w:val="00C86D10"/>
    <w:rsid w:val="00CA0EB3"/>
    <w:rsid w:val="00CA3E4A"/>
    <w:rsid w:val="00CB1C18"/>
    <w:rsid w:val="00CD5577"/>
    <w:rsid w:val="00CD7A9A"/>
    <w:rsid w:val="00CE09CD"/>
    <w:rsid w:val="00D0636A"/>
    <w:rsid w:val="00D21C01"/>
    <w:rsid w:val="00D32B13"/>
    <w:rsid w:val="00D32F01"/>
    <w:rsid w:val="00D35556"/>
    <w:rsid w:val="00D40099"/>
    <w:rsid w:val="00D416CB"/>
    <w:rsid w:val="00D51AF4"/>
    <w:rsid w:val="00D70D67"/>
    <w:rsid w:val="00D84F35"/>
    <w:rsid w:val="00D9562C"/>
    <w:rsid w:val="00D979C6"/>
    <w:rsid w:val="00DB11D3"/>
    <w:rsid w:val="00DE5F8C"/>
    <w:rsid w:val="00DF7851"/>
    <w:rsid w:val="00E16968"/>
    <w:rsid w:val="00E22CF6"/>
    <w:rsid w:val="00E26F81"/>
    <w:rsid w:val="00E35CDC"/>
    <w:rsid w:val="00E5065E"/>
    <w:rsid w:val="00E50CBA"/>
    <w:rsid w:val="00E53C38"/>
    <w:rsid w:val="00E57D95"/>
    <w:rsid w:val="00E62416"/>
    <w:rsid w:val="00E7093B"/>
    <w:rsid w:val="00E73E7A"/>
    <w:rsid w:val="00E87D4E"/>
    <w:rsid w:val="00E905FB"/>
    <w:rsid w:val="00E957DE"/>
    <w:rsid w:val="00E962F4"/>
    <w:rsid w:val="00EB5105"/>
    <w:rsid w:val="00ED1117"/>
    <w:rsid w:val="00ED1B2D"/>
    <w:rsid w:val="00ED60FD"/>
    <w:rsid w:val="00F02C27"/>
    <w:rsid w:val="00F04EF5"/>
    <w:rsid w:val="00F0781C"/>
    <w:rsid w:val="00F12F5B"/>
    <w:rsid w:val="00F25640"/>
    <w:rsid w:val="00F33116"/>
    <w:rsid w:val="00F3417A"/>
    <w:rsid w:val="00F532A7"/>
    <w:rsid w:val="00F62802"/>
    <w:rsid w:val="00F6476F"/>
    <w:rsid w:val="00F72DD1"/>
    <w:rsid w:val="00F749D9"/>
    <w:rsid w:val="00F752D3"/>
    <w:rsid w:val="00F776E4"/>
    <w:rsid w:val="00F91597"/>
    <w:rsid w:val="00F94074"/>
    <w:rsid w:val="00F9545A"/>
    <w:rsid w:val="00FA2D3E"/>
    <w:rsid w:val="00FD22AB"/>
    <w:rsid w:val="00FD7121"/>
    <w:rsid w:val="00FE2091"/>
    <w:rsid w:val="00FE3EB4"/>
    <w:rsid w:val="00FE423B"/>
    <w:rsid w:val="00FE4744"/>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
    <w:name w:val="Body text - Bullet"/>
    <w:basedOn w:val="11"/>
    <w:uiPriority w:val="99"/>
    <w:qFormat/>
    <w:rsid w:val="00C74B73"/>
    <w:pPr>
      <w:numPr>
        <w:numId w:val="7"/>
      </w:numPr>
      <w:tabs>
        <w:tab w:val="num" w:pos="360"/>
      </w:tabs>
      <w:autoSpaceDE w:val="0"/>
      <w:autoSpaceDN w:val="0"/>
      <w:spacing w:before="120" w:after="120"/>
      <w:ind w:left="0" w:firstLine="0"/>
    </w:pPr>
    <w:rPr>
      <w:rFonts w:ascii="Arial" w:hAnsi="Arial"/>
      <w:sz w:val="20"/>
      <w:lang w:eastAsia="en-US" w:bidi="en-US"/>
    </w:rPr>
  </w:style>
  <w:style w:type="paragraph" w:customStyle="1" w:styleId="AnnexC-Bodytext-Russian">
    <w:name w:val="Annex C - Body text - Russian"/>
    <w:basedOn w:val="a"/>
    <w:uiPriority w:val="99"/>
    <w:rsid w:val="00C74B73"/>
    <w:pPr>
      <w:tabs>
        <w:tab w:val="clear" w:pos="709"/>
      </w:tabs>
      <w:spacing w:before="120" w:after="120"/>
      <w:ind w:firstLine="0"/>
      <w:jc w:val="both"/>
    </w:pPr>
    <w:rPr>
      <w:rFonts w:ascii="Arial" w:hAnsi="Arial"/>
      <w:snapToGrid/>
      <w:sz w:val="20"/>
      <w:szCs w:val="22"/>
    </w:rPr>
  </w:style>
  <w:style w:type="character" w:styleId="ad">
    <w:name w:val="annotation reference"/>
    <w:basedOn w:val="a0"/>
    <w:uiPriority w:val="99"/>
    <w:semiHidden/>
    <w:unhideWhenUsed/>
    <w:rsid w:val="00C0438E"/>
    <w:rPr>
      <w:sz w:val="16"/>
      <w:szCs w:val="16"/>
    </w:rPr>
  </w:style>
  <w:style w:type="paragraph" w:styleId="ae">
    <w:name w:val="annotation text"/>
    <w:basedOn w:val="a"/>
    <w:link w:val="af"/>
    <w:uiPriority w:val="99"/>
    <w:semiHidden/>
    <w:unhideWhenUsed/>
    <w:rsid w:val="00C0438E"/>
    <w:rPr>
      <w:sz w:val="20"/>
    </w:rPr>
  </w:style>
  <w:style w:type="character" w:customStyle="1" w:styleId="af">
    <w:name w:val="Текст примечания Знак"/>
    <w:basedOn w:val="a0"/>
    <w:link w:val="ae"/>
    <w:uiPriority w:val="99"/>
    <w:semiHidden/>
    <w:rsid w:val="00C0438E"/>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C0438E"/>
    <w:rPr>
      <w:b/>
      <w:bCs/>
    </w:rPr>
  </w:style>
  <w:style w:type="character" w:customStyle="1" w:styleId="af1">
    <w:name w:val="Тема примечания Знак"/>
    <w:basedOn w:val="af"/>
    <w:link w:val="af0"/>
    <w:uiPriority w:val="99"/>
    <w:semiHidden/>
    <w:rsid w:val="00C0438E"/>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ullet">
    <w:name w:val="Body text - Bullet"/>
    <w:basedOn w:val="11"/>
    <w:uiPriority w:val="99"/>
    <w:qFormat/>
    <w:rsid w:val="00C74B73"/>
    <w:pPr>
      <w:numPr>
        <w:numId w:val="7"/>
      </w:numPr>
      <w:tabs>
        <w:tab w:val="num" w:pos="360"/>
      </w:tabs>
      <w:autoSpaceDE w:val="0"/>
      <w:autoSpaceDN w:val="0"/>
      <w:spacing w:before="120" w:after="120"/>
      <w:ind w:left="0" w:firstLine="0"/>
    </w:pPr>
    <w:rPr>
      <w:rFonts w:ascii="Arial" w:hAnsi="Arial"/>
      <w:sz w:val="20"/>
      <w:lang w:eastAsia="en-US" w:bidi="en-US"/>
    </w:rPr>
  </w:style>
  <w:style w:type="paragraph" w:customStyle="1" w:styleId="AnnexC-Bodytext-Russian">
    <w:name w:val="Annex C - Body text - Russian"/>
    <w:basedOn w:val="a"/>
    <w:uiPriority w:val="99"/>
    <w:rsid w:val="00C74B73"/>
    <w:pPr>
      <w:tabs>
        <w:tab w:val="clear" w:pos="709"/>
      </w:tabs>
      <w:spacing w:before="120" w:after="120"/>
      <w:ind w:firstLine="0"/>
      <w:jc w:val="both"/>
    </w:pPr>
    <w:rPr>
      <w:rFonts w:ascii="Arial" w:hAnsi="Arial"/>
      <w:snapToGrid/>
      <w:sz w:val="20"/>
      <w:szCs w:val="22"/>
    </w:rPr>
  </w:style>
  <w:style w:type="character" w:styleId="ad">
    <w:name w:val="annotation reference"/>
    <w:basedOn w:val="a0"/>
    <w:uiPriority w:val="99"/>
    <w:semiHidden/>
    <w:unhideWhenUsed/>
    <w:rsid w:val="00C0438E"/>
    <w:rPr>
      <w:sz w:val="16"/>
      <w:szCs w:val="16"/>
    </w:rPr>
  </w:style>
  <w:style w:type="paragraph" w:styleId="ae">
    <w:name w:val="annotation text"/>
    <w:basedOn w:val="a"/>
    <w:link w:val="af"/>
    <w:uiPriority w:val="99"/>
    <w:semiHidden/>
    <w:unhideWhenUsed/>
    <w:rsid w:val="00C0438E"/>
    <w:rPr>
      <w:sz w:val="20"/>
    </w:rPr>
  </w:style>
  <w:style w:type="character" w:customStyle="1" w:styleId="af">
    <w:name w:val="Текст примечания Знак"/>
    <w:basedOn w:val="a0"/>
    <w:link w:val="ae"/>
    <w:uiPriority w:val="99"/>
    <w:semiHidden/>
    <w:rsid w:val="00C0438E"/>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C0438E"/>
    <w:rPr>
      <w:b/>
      <w:bCs/>
    </w:rPr>
  </w:style>
  <w:style w:type="character" w:customStyle="1" w:styleId="af1">
    <w:name w:val="Тема примечания Знак"/>
    <w:basedOn w:val="af"/>
    <w:link w:val="af0"/>
    <w:uiPriority w:val="99"/>
    <w:semiHidden/>
    <w:rsid w:val="00C0438E"/>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rotkinKE@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exander.kopylov@ru.ey.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FA3A4BB-501A-43A1-858D-314623B0E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702</Words>
  <Characters>4006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Бельчич Сергей Игоревич</cp:lastModifiedBy>
  <cp:revision>2</cp:revision>
  <cp:lastPrinted>2014-11-26T10:56:00Z</cp:lastPrinted>
  <dcterms:created xsi:type="dcterms:W3CDTF">2014-12-25T17:33:00Z</dcterms:created>
  <dcterms:modified xsi:type="dcterms:W3CDTF">2014-12-25T17:33:00Z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