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C" w:rsidRPr="00B32FE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w:t>
      </w:r>
      <w:r w:rsidR="008C4FB0" w:rsidRPr="00117F25">
        <w:rPr>
          <w:b/>
          <w:sz w:val="32"/>
          <w:szCs w:val="32"/>
        </w:rPr>
        <w:t xml:space="preserve">форме </w:t>
      </w:r>
      <w:r w:rsidR="00C375C3" w:rsidRPr="00117F25">
        <w:rPr>
          <w:b/>
          <w:sz w:val="32"/>
          <w:szCs w:val="32"/>
        </w:rPr>
        <w:t xml:space="preserve">№ </w:t>
      </w:r>
      <w:proofErr w:type="spellStart"/>
      <w:r w:rsidR="0037068A" w:rsidRPr="0037068A">
        <w:rPr>
          <w:b/>
          <w:color w:val="000000"/>
          <w:sz w:val="32"/>
          <w:szCs w:val="32"/>
        </w:rPr>
        <w:t>ОКэ</w:t>
      </w:r>
      <w:proofErr w:type="spellEnd"/>
      <w:r w:rsidR="0037068A" w:rsidRPr="0037068A">
        <w:rPr>
          <w:b/>
          <w:color w:val="000000"/>
          <w:sz w:val="32"/>
          <w:szCs w:val="32"/>
        </w:rPr>
        <w:t>/004/ЦКПМТО/0017</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C4E59"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w:t>
      </w:r>
      <w:r>
        <w:t>луг для нужд П</w:t>
      </w:r>
      <w:r w:rsidR="00C64E36" w:rsidRPr="00C64E36">
        <w:t xml:space="preserve">АО «ТрансКонтейнер», утвержденным решением Совета директоров </w:t>
      </w:r>
      <w:r>
        <w:t>ПАО</w:t>
      </w:r>
      <w:r w:rsidR="00C64E36" w:rsidRPr="00C64E36">
        <w:t xml:space="preserve">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42C07" w:rsidRPr="00BD7544" w:rsidRDefault="00BC29CF" w:rsidP="00C42C07">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117F25">
        <w:rPr>
          <w:szCs w:val="28"/>
        </w:rPr>
        <w:t xml:space="preserve">№ </w:t>
      </w:r>
      <w:bookmarkStart w:id="0" w:name="_GoBack"/>
      <w:proofErr w:type="spellStart"/>
      <w:r w:rsidR="0037068A" w:rsidRPr="0037068A">
        <w:rPr>
          <w:color w:val="000000"/>
          <w:szCs w:val="28"/>
        </w:rPr>
        <w:t>ОКэ</w:t>
      </w:r>
      <w:proofErr w:type="spellEnd"/>
      <w:r w:rsidR="0037068A" w:rsidRPr="0037068A">
        <w:rPr>
          <w:color w:val="000000"/>
          <w:szCs w:val="28"/>
        </w:rPr>
        <w:t>/004/ЦКПМТО/0017</w:t>
      </w:r>
      <w:r w:rsidR="0037068A">
        <w:rPr>
          <w:color w:val="000000"/>
          <w:szCs w:val="28"/>
        </w:rPr>
        <w:t xml:space="preserve"> </w:t>
      </w:r>
      <w:bookmarkEnd w:id="0"/>
      <w:r w:rsidR="00C42C07" w:rsidRPr="00117F25">
        <w:rPr>
          <w:szCs w:val="28"/>
        </w:rPr>
        <w:t xml:space="preserve">на право заключения договора </w:t>
      </w:r>
      <w:r w:rsidR="00CC4E59">
        <w:rPr>
          <w:szCs w:val="28"/>
        </w:rPr>
        <w:t>по уходу за экспозицией растений в 2015 году (реестровый номер №188-14)</w:t>
      </w:r>
      <w:r w:rsidR="0037068A">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42C07" w:rsidRDefault="00C42C07" w:rsidP="00C42C07">
      <w:pPr>
        <w:ind w:left="708" w:firstLine="1"/>
        <w:jc w:val="both"/>
      </w:pPr>
      <w:r w:rsidRPr="00780429">
        <w:t xml:space="preserve">Ф.И.О.: Деде Алексей Викторович, </w:t>
      </w:r>
    </w:p>
    <w:p w:rsidR="00C42C07" w:rsidRPr="00780429" w:rsidRDefault="00C42C07" w:rsidP="00C42C07">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rsidR="00C42C07" w:rsidRPr="00780429" w:rsidRDefault="00C42C07" w:rsidP="00C42C07">
      <w:pPr>
        <w:jc w:val="both"/>
      </w:pPr>
      <w:r w:rsidRPr="00780429">
        <w:t xml:space="preserve">Телефон: </w:t>
      </w:r>
      <w:r w:rsidRPr="00780429">
        <w:rPr>
          <w:szCs w:val="28"/>
        </w:rPr>
        <w:t>+7 (495) 788-17-17</w:t>
      </w:r>
      <w:r w:rsidRPr="00780429">
        <w:t xml:space="preserve">, </w:t>
      </w:r>
    </w:p>
    <w:p w:rsidR="00C42C07" w:rsidRDefault="00C42C07" w:rsidP="00C42C07">
      <w:pPr>
        <w:jc w:val="both"/>
        <w:rPr>
          <w:szCs w:val="28"/>
        </w:rPr>
      </w:pPr>
      <w:r w:rsidRPr="00780429">
        <w:t xml:space="preserve">Факс: </w:t>
      </w:r>
      <w:r w:rsidRPr="00780429">
        <w:rPr>
          <w:szCs w:val="28"/>
        </w:rPr>
        <w:t>+7 (499) 262-75-78</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CC4E59">
        <w:t>П</w:t>
      </w:r>
      <w:r w:rsidR="00216833">
        <w:t xml:space="preserve">АО «ТрансКонтейнер».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CC4E59">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42C07" w:rsidRDefault="00124964" w:rsidP="00C42C07">
      <w:pPr>
        <w:jc w:val="both"/>
      </w:pPr>
      <w:r w:rsidRPr="00AC0842">
        <w:rPr>
          <w:szCs w:val="28"/>
        </w:rPr>
        <w:t xml:space="preserve">Предмет договора: </w:t>
      </w:r>
      <w:r w:rsidR="00CC4E59">
        <w:rPr>
          <w:szCs w:val="28"/>
        </w:rPr>
        <w:t xml:space="preserve">оказание </w:t>
      </w:r>
      <w:r w:rsidR="00C42C07" w:rsidRPr="00C64E36">
        <w:rPr>
          <w:szCs w:val="28"/>
        </w:rPr>
        <w:t xml:space="preserve"> </w:t>
      </w:r>
      <w:r w:rsidR="00CC4E59">
        <w:t>услуг по уходу за экспозицией растений в 2015 году.</w:t>
      </w:r>
    </w:p>
    <w:p w:rsidR="00124964" w:rsidRPr="00AC0842" w:rsidRDefault="00124964" w:rsidP="00C42C07">
      <w:pPr>
        <w:pStyle w:val="1"/>
        <w:suppressAutoHyphens/>
        <w:rPr>
          <w:szCs w:val="28"/>
        </w:rPr>
      </w:pPr>
      <w:r>
        <w:rPr>
          <w:szCs w:val="28"/>
        </w:rPr>
        <w:t xml:space="preserve"> </w:t>
      </w:r>
    </w:p>
    <w:p w:rsidR="00C42C07" w:rsidRDefault="00C42C07" w:rsidP="002C0F1D">
      <w:pPr>
        <w:jc w:val="both"/>
        <w:rPr>
          <w:rFonts w:eastAsia="Arial"/>
        </w:rPr>
      </w:pPr>
      <w:r w:rsidRPr="00B50969">
        <w:rPr>
          <w:rFonts w:eastAsia="Arial"/>
        </w:rPr>
        <w:lastRenderedPageBreak/>
        <w:t xml:space="preserve">Максимальная (предельная) цена договора составляет </w:t>
      </w:r>
      <w:r w:rsidR="00CC4E59">
        <w:rPr>
          <w:rFonts w:eastAsia="Arial"/>
        </w:rPr>
        <w:t>1 070 000</w:t>
      </w:r>
      <w:r w:rsidRPr="00B50969">
        <w:rPr>
          <w:rFonts w:eastAsia="Arial"/>
        </w:rPr>
        <w:t>,00 (</w:t>
      </w:r>
      <w:r w:rsidR="00CC4E59">
        <w:rPr>
          <w:rFonts w:eastAsia="Arial"/>
        </w:rPr>
        <w:t>Один миллион семьдесят тысяч</w:t>
      </w:r>
      <w:r w:rsidRPr="00B50969">
        <w:rPr>
          <w:rFonts w:eastAsia="Arial"/>
        </w:rPr>
        <w:t xml:space="preserve">) рублей 00 копеек </w:t>
      </w:r>
      <w:r w:rsidRPr="00667249">
        <w:rPr>
          <w:rFonts w:eastAsia="Arial"/>
        </w:rPr>
        <w:t>с учётом нанесения логотипов, всех возможных расходов претендента, в том числе транспортных расходов</w:t>
      </w:r>
      <w:r w:rsidRPr="00B50969">
        <w:rPr>
          <w:rFonts w:eastAsia="Arial"/>
        </w:rPr>
        <w:t xml:space="preserve"> на доставку товара до склада </w:t>
      </w:r>
      <w:r>
        <w:rPr>
          <w:rFonts w:eastAsia="Arial"/>
        </w:rPr>
        <w:t>П</w:t>
      </w:r>
      <w:r w:rsidRPr="00B50969">
        <w:rPr>
          <w:rFonts w:eastAsia="Arial"/>
        </w:rPr>
        <w:t>олучателя</w:t>
      </w:r>
      <w:r w:rsidRPr="00667249">
        <w:rPr>
          <w:rFonts w:eastAsia="Arial"/>
        </w:rPr>
        <w:t>, и всех видов налогов, кроме НДС (указывается отдельной строкой)</w:t>
      </w:r>
      <w:r>
        <w:rPr>
          <w:rFonts w:eastAsia="Arial"/>
        </w:rPr>
        <w:t>.</w:t>
      </w:r>
    </w:p>
    <w:p w:rsidR="00C42C07" w:rsidRDefault="00C42C07"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CC4E59" w:rsidRPr="00AC0842" w:rsidTr="00FE4DC1">
        <w:tc>
          <w:tcPr>
            <w:tcW w:w="817" w:type="dxa"/>
            <w:vAlign w:val="center"/>
          </w:tcPr>
          <w:p w:rsidR="00CC4E59" w:rsidRPr="003A4F77" w:rsidRDefault="00CC4E59" w:rsidP="00395B05">
            <w:pPr>
              <w:ind w:firstLine="0"/>
              <w:jc w:val="center"/>
              <w:rPr>
                <w:sz w:val="24"/>
                <w:szCs w:val="24"/>
              </w:rPr>
            </w:pPr>
            <w:r w:rsidRPr="003A4F77">
              <w:rPr>
                <w:sz w:val="24"/>
                <w:szCs w:val="24"/>
              </w:rPr>
              <w:t>1</w:t>
            </w:r>
          </w:p>
        </w:tc>
        <w:tc>
          <w:tcPr>
            <w:tcW w:w="1819" w:type="dxa"/>
            <w:vAlign w:val="center"/>
          </w:tcPr>
          <w:p w:rsidR="00CC4E59" w:rsidRPr="003A4F77" w:rsidRDefault="00CC4E59" w:rsidP="00395B05">
            <w:pPr>
              <w:ind w:firstLine="0"/>
              <w:jc w:val="center"/>
              <w:rPr>
                <w:sz w:val="24"/>
                <w:szCs w:val="24"/>
              </w:rPr>
            </w:pPr>
            <w:r>
              <w:rPr>
                <w:sz w:val="24"/>
                <w:szCs w:val="24"/>
              </w:rPr>
              <w:t>0141</w:t>
            </w:r>
          </w:p>
        </w:tc>
        <w:tc>
          <w:tcPr>
            <w:tcW w:w="1819" w:type="dxa"/>
            <w:vAlign w:val="center"/>
          </w:tcPr>
          <w:p w:rsidR="00CC4E59" w:rsidRPr="003A4F77" w:rsidRDefault="00CC4E59" w:rsidP="00395B05">
            <w:pPr>
              <w:ind w:firstLine="0"/>
              <w:jc w:val="center"/>
              <w:rPr>
                <w:sz w:val="24"/>
                <w:szCs w:val="24"/>
              </w:rPr>
            </w:pPr>
            <w:r>
              <w:rPr>
                <w:sz w:val="24"/>
                <w:szCs w:val="24"/>
              </w:rPr>
              <w:t>01.41</w:t>
            </w:r>
          </w:p>
        </w:tc>
        <w:tc>
          <w:tcPr>
            <w:tcW w:w="1323" w:type="dxa"/>
            <w:vAlign w:val="center"/>
          </w:tcPr>
          <w:p w:rsidR="00CC4E59" w:rsidRPr="003A4F77" w:rsidRDefault="00CC4E59" w:rsidP="00395B05">
            <w:pPr>
              <w:ind w:firstLine="0"/>
              <w:jc w:val="center"/>
              <w:rPr>
                <w:sz w:val="24"/>
                <w:szCs w:val="24"/>
              </w:rPr>
            </w:pPr>
            <w:r>
              <w:rPr>
                <w:sz w:val="24"/>
                <w:szCs w:val="24"/>
              </w:rPr>
              <w:t>условная единица</w:t>
            </w:r>
          </w:p>
        </w:tc>
        <w:tc>
          <w:tcPr>
            <w:tcW w:w="1418" w:type="dxa"/>
            <w:vAlign w:val="center"/>
          </w:tcPr>
          <w:p w:rsidR="00CC4E59" w:rsidRPr="003A4F77" w:rsidRDefault="00CC4E59" w:rsidP="00395B05">
            <w:pPr>
              <w:ind w:firstLine="0"/>
              <w:jc w:val="center"/>
              <w:rPr>
                <w:sz w:val="24"/>
                <w:szCs w:val="24"/>
              </w:rPr>
            </w:pPr>
            <w:r>
              <w:rPr>
                <w:sz w:val="24"/>
                <w:szCs w:val="24"/>
              </w:rPr>
              <w:t>1</w:t>
            </w:r>
          </w:p>
        </w:tc>
        <w:tc>
          <w:tcPr>
            <w:tcW w:w="2551" w:type="dxa"/>
            <w:vAlign w:val="center"/>
          </w:tcPr>
          <w:p w:rsidR="00CC4E59" w:rsidRPr="003A4F77" w:rsidRDefault="00CC4E59" w:rsidP="00395B05">
            <w:pPr>
              <w:ind w:firstLine="0"/>
              <w:jc w:val="center"/>
              <w:rPr>
                <w:sz w:val="24"/>
                <w:szCs w:val="24"/>
              </w:rPr>
            </w:pPr>
            <w:r>
              <w:rPr>
                <w:sz w:val="24"/>
                <w:szCs w:val="24"/>
              </w:rPr>
              <w:t>Реестровый номер №188-14</w:t>
            </w:r>
          </w:p>
        </w:tc>
      </w:tr>
    </w:tbl>
    <w:p w:rsidR="00C42C07" w:rsidRDefault="00C42C07" w:rsidP="00C42C0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rsidR="00C42C07" w:rsidRPr="00D54159" w:rsidRDefault="00C42C07" w:rsidP="00C42C07">
      <w:pPr>
        <w:jc w:val="both"/>
        <w:rPr>
          <w:szCs w:val="28"/>
        </w:rPr>
      </w:pPr>
      <w:r>
        <w:rPr>
          <w:szCs w:val="28"/>
        </w:rPr>
        <w:t>Ф</w:t>
      </w:r>
      <w:r>
        <w:t>илиалы и агентства Заказчика согласно п. 4.6 Раздела 4 Технического задания документации о закупке.</w:t>
      </w:r>
    </w:p>
    <w:p w:rsidR="008C7B27" w:rsidRDefault="008C7B27" w:rsidP="00C42C0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3BFD" w:rsidRPr="00AD3BFD">
        <w:rPr>
          <w:szCs w:val="28"/>
        </w:rPr>
        <w:t xml:space="preserve"> «</w:t>
      </w:r>
      <w:r w:rsidR="0037068A">
        <w:rPr>
          <w:szCs w:val="28"/>
        </w:rPr>
        <w:t>24</w:t>
      </w:r>
      <w:r w:rsidR="007A52C2" w:rsidRPr="00AD3BFD">
        <w:rPr>
          <w:szCs w:val="28"/>
        </w:rPr>
        <w:t xml:space="preserve">» </w:t>
      </w:r>
      <w:r w:rsidR="00CC4E59">
        <w:rPr>
          <w:szCs w:val="28"/>
        </w:rPr>
        <w:t>марта</w:t>
      </w:r>
      <w:r w:rsidR="007A52C2" w:rsidRPr="00AD3BFD">
        <w:rPr>
          <w:szCs w:val="28"/>
        </w:rPr>
        <w:t xml:space="preserve"> 201</w:t>
      </w:r>
      <w:r w:rsidR="00CC4E59">
        <w:rPr>
          <w:szCs w:val="28"/>
        </w:rPr>
        <w:t>5</w:t>
      </w:r>
      <w:r w:rsidRPr="00AD3BFD">
        <w:rPr>
          <w:szCs w:val="28"/>
        </w:rPr>
        <w:t xml:space="preserve"> г. по «</w:t>
      </w:r>
      <w:r w:rsidR="0037068A">
        <w:rPr>
          <w:szCs w:val="28"/>
        </w:rPr>
        <w:t>13</w:t>
      </w:r>
      <w:r w:rsidRPr="00AD3BFD">
        <w:rPr>
          <w:szCs w:val="28"/>
        </w:rPr>
        <w:t xml:space="preserve">» </w:t>
      </w:r>
      <w:r w:rsidR="00CC4E59">
        <w:rPr>
          <w:szCs w:val="28"/>
        </w:rPr>
        <w:t>апреля</w:t>
      </w:r>
      <w:r w:rsidR="007A52C2" w:rsidRPr="00AD3BFD">
        <w:rPr>
          <w:szCs w:val="28"/>
        </w:rPr>
        <w:t xml:space="preserve"> 201</w:t>
      </w:r>
      <w:r w:rsidR="00CC4E59">
        <w:rPr>
          <w:szCs w:val="28"/>
        </w:rPr>
        <w:t>5</w:t>
      </w:r>
      <w:r w:rsidRPr="00AD3BFD">
        <w:rPr>
          <w:szCs w:val="28"/>
        </w:rPr>
        <w:t xml:space="preserve"> г.</w:t>
      </w:r>
      <w:r>
        <w:rPr>
          <w:szCs w:val="28"/>
        </w:rPr>
        <w:t xml:space="preserve"> </w:t>
      </w:r>
    </w:p>
    <w:p w:rsidR="00AD3BFD" w:rsidRDefault="00AD3BFD" w:rsidP="00CB1C18">
      <w:pPr>
        <w:jc w:val="both"/>
        <w:rPr>
          <w:szCs w:val="28"/>
        </w:rPr>
      </w:pP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CC4E59">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37068A">
        <w:rPr>
          <w:szCs w:val="28"/>
        </w:rPr>
        <w:t>«13</w:t>
      </w:r>
      <w:r w:rsidR="00082A72" w:rsidRPr="00AD3BFD">
        <w:rPr>
          <w:szCs w:val="28"/>
        </w:rPr>
        <w:t xml:space="preserve">» </w:t>
      </w:r>
      <w:r w:rsidR="0037068A">
        <w:rPr>
          <w:szCs w:val="28"/>
        </w:rPr>
        <w:t>апреля</w:t>
      </w:r>
      <w:r w:rsidR="00082A72" w:rsidRPr="00AD3BFD">
        <w:rPr>
          <w:szCs w:val="28"/>
        </w:rPr>
        <w:t xml:space="preserve"> 201</w:t>
      </w:r>
      <w:r w:rsidR="00CC4E59">
        <w:rPr>
          <w:szCs w:val="28"/>
        </w:rPr>
        <w:t>5</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ОТС-тендер (</w:t>
      </w:r>
      <w:hyperlink r:id="rId17" w:history="1">
        <w:r w:rsidR="00E135F8" w:rsidRPr="00AD3BFD">
          <w:rPr>
            <w:rStyle w:val="a6"/>
            <w:szCs w:val="28"/>
            <w:lang w:val="en-US"/>
          </w:rPr>
          <w:t>http</w:t>
        </w:r>
        <w:r w:rsidR="00E135F8" w:rsidRPr="00AD3BFD">
          <w:rPr>
            <w:rStyle w:val="a6"/>
            <w:szCs w:val="28"/>
          </w:rPr>
          <w:t>://</w:t>
        </w:r>
        <w:proofErr w:type="spellStart"/>
        <w:r w:rsidR="00E135F8" w:rsidRPr="00AD3BFD">
          <w:rPr>
            <w:rStyle w:val="a6"/>
            <w:szCs w:val="28"/>
            <w:lang w:val="en-US"/>
          </w:rPr>
          <w:t>otc</w:t>
        </w:r>
        <w:proofErr w:type="spellEnd"/>
        <w:r w:rsidR="00E135F8" w:rsidRPr="00AD3BFD">
          <w:rPr>
            <w:rStyle w:val="a6"/>
            <w:szCs w:val="28"/>
          </w:rPr>
          <w:t>.</w:t>
        </w:r>
        <w:proofErr w:type="spellStart"/>
        <w:r w:rsidR="00E135F8" w:rsidRPr="00AD3BFD">
          <w:rPr>
            <w:rStyle w:val="a6"/>
            <w:szCs w:val="28"/>
            <w:lang w:val="en-US"/>
          </w:rPr>
          <w:t>ru</w:t>
        </w:r>
        <w:proofErr w:type="spellEnd"/>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AD3BFD" w:rsidP="00C017C8">
      <w:pPr>
        <w:jc w:val="both"/>
        <w:rPr>
          <w:b/>
        </w:rPr>
      </w:pPr>
      <w:r w:rsidRPr="00AD3BFD">
        <w:rPr>
          <w:szCs w:val="28"/>
        </w:rPr>
        <w:tab/>
        <w:t>«</w:t>
      </w:r>
      <w:r w:rsidR="0037068A">
        <w:rPr>
          <w:szCs w:val="28"/>
        </w:rPr>
        <w:t>17</w:t>
      </w:r>
      <w:r w:rsidR="007A52C2" w:rsidRPr="00AD3BFD">
        <w:rPr>
          <w:szCs w:val="28"/>
        </w:rPr>
        <w:t xml:space="preserve">» </w:t>
      </w:r>
      <w:r w:rsidR="0037068A">
        <w:rPr>
          <w:szCs w:val="28"/>
        </w:rPr>
        <w:t>апреля</w:t>
      </w:r>
      <w:r w:rsidR="007A52C2" w:rsidRPr="00AD3BFD">
        <w:rPr>
          <w:szCs w:val="28"/>
        </w:rPr>
        <w:t xml:space="preserve"> 201</w:t>
      </w:r>
      <w:r w:rsidR="00CC4E59">
        <w:rPr>
          <w:szCs w:val="28"/>
        </w:rPr>
        <w:t>5</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AD3BFD">
        <w:rPr>
          <w:szCs w:val="28"/>
        </w:rPr>
        <w:t>«</w:t>
      </w:r>
      <w:r w:rsidR="0037068A">
        <w:rPr>
          <w:szCs w:val="28"/>
        </w:rPr>
        <w:t>07</w:t>
      </w:r>
      <w:r w:rsidRPr="00DD7931">
        <w:rPr>
          <w:szCs w:val="28"/>
        </w:rPr>
        <w:t xml:space="preserve">» </w:t>
      </w:r>
      <w:r w:rsidR="0037068A">
        <w:rPr>
          <w:szCs w:val="28"/>
        </w:rPr>
        <w:t>мая</w:t>
      </w:r>
      <w:r w:rsidRPr="00DD7931">
        <w:rPr>
          <w:szCs w:val="28"/>
        </w:rPr>
        <w:t xml:space="preserve"> 201</w:t>
      </w:r>
      <w:r w:rsidR="00CC4E59">
        <w:rPr>
          <w:szCs w:val="28"/>
        </w:rPr>
        <w:t>5</w:t>
      </w:r>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lastRenderedPageBreak/>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CC4E59">
        <w:t>ПАО</w:t>
      </w:r>
      <w:r>
        <w:t xml:space="preserve">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CC4E59">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C4E59">
        <w:t>ПАО</w:t>
      </w:r>
      <w:r w:rsidR="00C43903">
        <w:t xml:space="preserve">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CC4E59">
        <w:t>ПАО</w:t>
      </w:r>
      <w:r w:rsidR="006A2D2A">
        <w:t xml:space="preserve"> «ТрансКонтейнер»</w:t>
      </w:r>
      <w:r w:rsidR="0014182E">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A0" w:rsidRDefault="006F72A0" w:rsidP="00CB1C18">
      <w:r>
        <w:separator/>
      </w:r>
    </w:p>
  </w:endnote>
  <w:endnote w:type="continuationSeparator" w:id="0">
    <w:p w:rsidR="006F72A0" w:rsidRDefault="006F72A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A0" w:rsidRDefault="006F72A0" w:rsidP="00CB1C18">
      <w:r>
        <w:separator/>
      </w:r>
    </w:p>
  </w:footnote>
  <w:footnote w:type="continuationSeparator" w:id="0">
    <w:p w:rsidR="006F72A0" w:rsidRDefault="006F72A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Default="00484A47">
    <w:pPr>
      <w:pStyle w:val="af0"/>
      <w:jc w:val="center"/>
    </w:pPr>
    <w:r>
      <w:fldChar w:fldCharType="begin"/>
    </w:r>
    <w:r>
      <w:instrText xml:space="preserve"> PAGE   \* MERGEFORMAT </w:instrText>
    </w:r>
    <w:r>
      <w:fldChar w:fldCharType="separate"/>
    </w:r>
    <w:r w:rsidR="002F6CF9">
      <w:rPr>
        <w:noProof/>
      </w:rPr>
      <w:t>2</w:t>
    </w:r>
    <w:r>
      <w:rPr>
        <w:noProof/>
      </w:rPr>
      <w:fldChar w:fldCharType="end"/>
    </w:r>
  </w:p>
  <w:p w:rsidR="00B32FE8" w:rsidRDefault="00B32FE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Pr="004F2B79" w:rsidRDefault="00B32FE8"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17F25"/>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C37"/>
    <w:rsid w:val="001D488F"/>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2F6CF9"/>
    <w:rsid w:val="003038BF"/>
    <w:rsid w:val="003106D1"/>
    <w:rsid w:val="0032153B"/>
    <w:rsid w:val="003248F4"/>
    <w:rsid w:val="0037068A"/>
    <w:rsid w:val="00372BBD"/>
    <w:rsid w:val="003C7469"/>
    <w:rsid w:val="003C7807"/>
    <w:rsid w:val="003D0AA6"/>
    <w:rsid w:val="003E13B8"/>
    <w:rsid w:val="003E1D49"/>
    <w:rsid w:val="003E7A15"/>
    <w:rsid w:val="003F2B7A"/>
    <w:rsid w:val="0041301F"/>
    <w:rsid w:val="00422918"/>
    <w:rsid w:val="00424685"/>
    <w:rsid w:val="00427B60"/>
    <w:rsid w:val="0044002D"/>
    <w:rsid w:val="00451B67"/>
    <w:rsid w:val="004566F4"/>
    <w:rsid w:val="00482157"/>
    <w:rsid w:val="00483D8D"/>
    <w:rsid w:val="00484A4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E0FA2"/>
    <w:rsid w:val="006F72A0"/>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471D8"/>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2C07"/>
    <w:rsid w:val="00C43903"/>
    <w:rsid w:val="00C52492"/>
    <w:rsid w:val="00C551C8"/>
    <w:rsid w:val="00C64E36"/>
    <w:rsid w:val="00C710BB"/>
    <w:rsid w:val="00C73DDA"/>
    <w:rsid w:val="00CA4696"/>
    <w:rsid w:val="00CB1C18"/>
    <w:rsid w:val="00CC4E59"/>
    <w:rsid w:val="00CE09CD"/>
    <w:rsid w:val="00CE3802"/>
    <w:rsid w:val="00D0636A"/>
    <w:rsid w:val="00D20EAA"/>
    <w:rsid w:val="00D21C01"/>
    <w:rsid w:val="00D30396"/>
    <w:rsid w:val="00D32B13"/>
    <w:rsid w:val="00D32F01"/>
    <w:rsid w:val="00D35556"/>
    <w:rsid w:val="00D40099"/>
    <w:rsid w:val="00D43A0F"/>
    <w:rsid w:val="00D43F92"/>
    <w:rsid w:val="00D50A82"/>
    <w:rsid w:val="00D70D67"/>
    <w:rsid w:val="00D7451B"/>
    <w:rsid w:val="00D84F35"/>
    <w:rsid w:val="00D85F55"/>
    <w:rsid w:val="00D9562C"/>
    <w:rsid w:val="00DA3F5B"/>
    <w:rsid w:val="00DB11D3"/>
    <w:rsid w:val="00DD2FCA"/>
    <w:rsid w:val="00DD59A3"/>
    <w:rsid w:val="00DD7931"/>
    <w:rsid w:val="00DE5F8C"/>
    <w:rsid w:val="00DF51FA"/>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57C6A8-43A4-4F2A-A307-4576A11B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2014-10-29T07:12:00Z</cp:lastPrinted>
  <dcterms:created xsi:type="dcterms:W3CDTF">2015-03-24T06:22:00Z</dcterms:created>
  <dcterms:modified xsi:type="dcterms:W3CDTF">2015-03-24T08:02:00Z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